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JAKUBECZ</w:t>
            </w:r>
          </w:p>
          <w:p w:rsidR="00C275A3" w:rsidRDefault="00A96AEC" w:rsidP="00C275A3">
            <w:pPr>
              <w:pStyle w:val="Hallgatokepzes"/>
            </w:pPr>
            <w:r>
              <w:t>European and International Administration</w:t>
            </w:r>
            <w:r>
              <w:br/>
            </w:r>
            <w:r w:rsidR="00E77B23">
              <w:t>MA, 1.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Andras Zs. Varga</w:t>
            </w:r>
          </w:p>
          <w:p w:rsidR="00DB4822" w:rsidRDefault="00DB4822" w:rsidP="00E11062">
            <w:pPr>
              <w:pStyle w:val="Konzulensek"/>
            </w:pPr>
            <w:r w:rsidRPr="00DB4822">
              <w:t>Head of Department,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This is not for you! - Child protection on the screen</w:t>
      </w:r>
    </w:p>
    <w:p w:rsidR="00D71DF5" w:rsidRDefault="00D71DF5" w:rsidP="00AD2602">
      <w:pPr>
        <w:jc w:val="both"/>
      </w:pPr>
    </w:p>
    <w:p>
      <w:pPr>
        <w:pBdr/>
        <w:spacing w:before="240" w:after="240" w:line="240" w:lineRule="auto"/>
        <w:ind w:left="0" w:right="0"/>
        <w:jc w:val="left"/>
      </w:pPr>
      <w:r>
        <w:rPr>
          <w:color w:val="000000"/>
          <w:sz w:val="24"/>
          <w:szCs w:val="24"/>
        </w:rPr>
        <w:t xml:space="preserve">The television is still standing on the top of the pyramide regarding means of mass communication. Just like adults, children can also become a „fan”, thus the television can exercise substantial influence on the lifesytle and way of thinking with the generation of the future. Due to the doctrine of the freedom of the press, the media sercive providers have the chance to shape the mainstream, nevertheless within the framework established by the Media Authority.</w:t>
      </w:r>
    </w:p>
    <w:p>
      <w:pPr>
        <w:pBdr/>
        <w:spacing w:before="240" w:after="240" w:line="240" w:lineRule="auto"/>
        <w:ind w:left="0" w:right="0"/>
        <w:jc w:val="left"/>
      </w:pPr>
      <w:r>
        <w:rPr>
          <w:color w:val="000000"/>
          <w:sz w:val="24"/>
          <w:szCs w:val="24"/>
        </w:rPr>
        <w:t xml:space="preserve">In my research, I firstly outlined pros and cons in conjuction with watching television, according to how the Media influence on the juvenile. Next I examined the legal background on international level, EU-level, and national level legislation and legal practice. With respect to the national regulation, the examination encompassed the Hungarian television rating system bases on the Recommendation issued by the Media Authority. I presented the rating categories and the differences between them, furthermore I dealt with the technological side which is necessary for the implementation of control.</w:t>
      </w:r>
    </w:p>
    <w:p>
      <w:pPr>
        <w:pBdr/>
        <w:spacing w:before="240" w:after="240" w:line="240" w:lineRule="auto"/>
        <w:ind w:left="0" w:right="0"/>
        <w:jc w:val="left"/>
      </w:pPr>
      <w:r>
        <w:rPr>
          <w:color w:val="000000"/>
          <w:sz w:val="24"/>
          <w:szCs w:val="24"/>
        </w:rPr>
        <w:t xml:space="preserve">Not only TV programs can be seen on the screen, but also advertisements, therefore I investigated the law of advertising in the light of child protection.</w:t>
      </w:r>
    </w:p>
    <w:p>
      <w:pPr>
        <w:pBdr/>
        <w:spacing w:before="240" w:after="240" w:line="240" w:lineRule="auto"/>
        <w:ind w:left="0" w:right="0"/>
        <w:jc w:val="left"/>
      </w:pPr>
      <w:r>
        <w:rPr>
          <w:color w:val="000000"/>
          <w:sz w:val="24"/>
          <w:szCs w:val="24"/>
        </w:rPr>
        <w:t xml:space="preserve">The presence of child protection is endangered by law offenders who tend to violate the framework established by the Media Authority, thus I outlined the types of legal penalties, and also how these penalties are enforced, and the manner of imposition via the substantive sanctions. Finally, in order to illustrate the above-mentioned system, I selected some legal cases from the jurisprudence of the Media Council.</w:t>
      </w:r>
    </w:p>
    <w:p>
      <w:pPr>
        <w:pBdr/>
        <w:spacing w:before="240" w:after="240" w:line="240" w:lineRule="auto"/>
        <w:ind w:left="0" w:right="0"/>
        <w:jc w:val="left"/>
      </w:pPr>
      <w:r>
        <w:rPr>
          <w:color w:val="000000"/>
          <w:sz w:val="24"/>
          <w:szCs w:val="24"/>
        </w:rPr>
        <w:t xml:space="preserve">I tackled these subjects with due critizism, the media law and also the advertising law, and collected certain regulatory deficiencies which must be amended or passed. Since the hierarchy of regulation is not balanced between media law and advertising law, therefore currently efficient child protection can not be accomplished on the screen.</w:t>
      </w:r>
    </w:p>
    <w:p>
      <w:pPr>
        <w:pBdr/>
        <w:spacing w:before="240" w:after="240" w:line="240" w:lineRule="auto"/>
        <w:ind w:left="0" w:right="0"/>
        <w:jc w:val="left"/>
      </w:pPr>
      <w:r>
        <w:rPr>
          <w:color w:val="000000"/>
          <w:sz w:val="24"/>
          <w:szCs w:val="24"/>
        </w:rPr>
        <w:t xml:space="preserve">Meanwhile I reached to a conclusion; namely, that the solution demands cooperation among three parties: public administration, media, and parents alike.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330039">
    <w:multiLevelType w:val="hybridMultilevel"/>
    <w:lvl w:ilvl="0" w:tplc="650555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330039">
    <w:abstractNumId w:val="233300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62715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