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ZÁGON</w:t>
            </w:r>
          </w:p>
          <w:p w:rsidR="00C275A3" w:rsidRDefault="00A96AEC" w:rsidP="00C275A3">
            <w:pPr>
              <w:pStyle w:val="Hallgatokepzes"/>
            </w:pPr>
            <w:r>
              <w:t>law</w:t>
            </w:r>
            <w:r>
              <w:br/>
            </w:r>
            <w:r w:rsidR="00E77B23">
              <w:t>Unified, 11. semester</w:t>
            </w:r>
          </w:p>
          <w:p w:rsidR="00C265CE" w:rsidRPr="009E5FF1" w:rsidRDefault="00E77B23" w:rsidP="00C275A3">
            <w:pPr>
              <w:pStyle w:val="Hallgatokepzes"/>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Ágnes Kovács Tahyné</w:t>
            </w:r>
          </w:p>
          <w:p w:rsidR="00DB4822" w:rsidRDefault="00DB4822" w:rsidP="00E11062">
            <w:pPr>
              <w:pStyle w:val="Konzulensek"/>
            </w:pPr>
            <w:r w:rsidRPr="00DB4822">
              <w:t>professor’s assistant,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"Transgenic liability"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“Transgenic liability”</w:t>
      </w:r>
    </w:p>
    <w:p>
      <w:pPr>
        <w:pBdr/>
        <w:spacing w:before="240" w:after="240" w:line="240" w:lineRule="auto"/>
        <w:ind w:left="0" w:right="0"/>
        <w:jc w:val="left"/>
      </w:pPr>
      <w:r>
        <w:rPr>
          <w:color w:val="000000"/>
          <w:sz w:val="24"/>
          <w:szCs w:val="24"/>
        </w:rPr>
        <w:t xml:space="preserve">The essay deals with a current and disputed topic: genetically modified organisations. In particular, the essay analyses the rules on the liability for the manner of conduct in connection with genetically modified organisations, as well as the liability emerging in connection with co-breeding.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162996">
    <w:multiLevelType w:val="hybridMultilevel"/>
    <w:lvl w:ilvl="0" w:tplc="667223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162996">
    <w:abstractNumId w:val="651629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68920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