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ZLINSZKY</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Mihály Kurucz</w:t>
            </w:r>
          </w:p>
          <w:p w:rsidR="00DB4822" w:rsidRDefault="00DB4822" w:rsidP="00E11062">
            <w:pPr>
              <w:pStyle w:val="Konzulensek"/>
            </w:pPr>
            <w:r w:rsidRPr="00DB4822">
              <w:t>associate professor, ELTE ÁJK</w:t>
            </w:r>
          </w:p>
        </w:tc>
      </w:tr>
      <w:tr w:rsidR="00DB4822" w:rsidTr="00DB4822">
        <w:tc>
          <w:tcPr>
            <w:tcW w:w="9854" w:type="dxa"/>
          </w:tcPr>
          <w:p w:rsidR="00DB4822" w:rsidRPr="00DB4822" w:rsidRDefault="00DB4822" w:rsidP="004D7940">
            <w:pPr>
              <w:pStyle w:val="Konzulensek"/>
            </w:pPr>
            <w:r w:rsidRPr="00DB4822">
              <w:t>Tamás Lábady</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conditions of land property law in the European Union</w:t>
      </w:r>
    </w:p>
    <w:p w:rsidR="00D71DF5" w:rsidRDefault="00D71DF5" w:rsidP="00AD2602">
      <w:pPr>
        <w:jc w:val="both"/>
      </w:pPr>
    </w:p>
    <w:p>
      <w:pPr>
        <w:pBdr/>
        <w:spacing w:before="240" w:after="240" w:line="240" w:lineRule="auto"/>
        <w:ind w:left="0" w:right="0"/>
        <w:jc w:val="left"/>
      </w:pPr>
      <w:r>
        <w:rPr>
          <w:color w:val="000000"/>
          <w:sz w:val="24"/>
          <w:szCs w:val="24"/>
        </w:rPr>
        <w:t xml:space="preserve">Hungary became a member of the European Union in 2004. After ten years of monatory on national land property law, our parlament is engaged to form the hungarian land property bill (1994. LV. tv) so that it agrees the European Union's land property law conditions. These conditions are analized in this paper.</w:t>
      </w:r>
    </w:p>
    <w:p>
      <w:pPr>
        <w:pBdr/>
        <w:spacing w:before="240" w:after="240" w:line="240" w:lineRule="auto"/>
        <w:ind w:left="0" w:right="0"/>
        <w:jc w:val="left"/>
      </w:pPr>
      <w:r>
        <w:rPr>
          <w:color w:val="000000"/>
          <w:sz w:val="24"/>
          <w:szCs w:val="24"/>
        </w:rPr>
        <w:t xml:space="preserve"> I found that the Common Agricultural Policy contain no disposals about the issues of land property law. Articels of the Treaty on the Functioning of the European Union (TFEU) give this section's borders. The four freedoms are called to ensure the predominancy of the common market in the EU. From this four two, the freedom of estabilishment and the freedom of capital do have an affect on the land property law of the member states.</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03220">
    <w:multiLevelType w:val="hybridMultilevel"/>
    <w:lvl w:ilvl="0" w:tplc="8310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03220">
    <w:abstractNumId w:val="59603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167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