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ZLINSZKY PÉTER</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Kurucz Mihály</w:t>
            </w:r>
          </w:p>
          <w:p w:rsidR="00DB4822" w:rsidRDefault="00DB4822" w:rsidP="00E11062">
            <w:pPr>
              <w:pStyle w:val="Konzulensek"/>
            </w:pPr>
            <w:r w:rsidRPr="00DB4822">
              <w:t>külsős, ELTE ÁJK</w:t>
            </w:r>
          </w:p>
        </w:tc>
      </w:tr>
      <w:tr w:rsidR="00DB4822" w:rsidTr="00DB4822">
        <w:tc>
          <w:tcPr>
            <w:tcW w:w="9854" w:type="dxa"/>
          </w:tcPr>
          <w:p w:rsidR="00DB4822" w:rsidRPr="00DB4822" w:rsidRDefault="00DB4822" w:rsidP="004D7940">
            <w:pPr>
              <w:pStyle w:val="Konzulensek"/>
            </w:pPr>
            <w:r w:rsidRPr="00DB4822">
              <w:t>Dr. Lábady Tamás</w:t>
            </w:r>
          </w:p>
          <w:p w:rsidR="00DB4822" w:rsidRDefault="00DB4822" w:rsidP="00E11062">
            <w:pPr>
              <w:pStyle w:val="Konzulensek"/>
            </w:pPr>
            <w:r w:rsidRPr="00DB4822">
              <w:t>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földtulajdonjogi szabályozás Európai Unió szabta mozgástere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Magyarországnak 2014 április 30-ig életbe kell léptetnie egy olyan földforgalmi szabályozást, ami megfelel az Európai Unió szabta mozgástérnek. Ezt vizsgáltam meg dolgozatomban, sorra véve az Európai Unió Működéséről Szóló Szerződés (EUMSz) vonatkozó rendelkezéseit, illetve az Európai Bíróság esetjogát.</w:t>
      </w:r>
    </w:p>
    <w:p>
      <w:pPr>
        <w:pBdr/>
        <w:spacing w:before="240" w:after="240" w:line="240" w:lineRule="auto"/>
        <w:ind w:left="0" w:right="0"/>
        <w:jc w:val="left"/>
      </w:pPr>
      <w:r>
        <w:rPr>
          <w:color w:val="000000"/>
          <w:sz w:val="24"/>
          <w:szCs w:val="24"/>
        </w:rPr>
        <w:t xml:space="preserve">Az Unió Közös Agrárpolitikája (CAP) nem érint tulajdonjogi kérdéseket. A négy gazdasági alapszabadság, annál inkább. Ezek közül kettőnek - a letelepedés- és a tőkemozgás szabadságának - van termőföldjogi vonatkozása.</w:t>
      </w:r>
    </w:p>
    <w:p>
      <w:pPr>
        <w:pBdr/>
        <w:spacing w:before="240" w:after="240" w:line="240" w:lineRule="auto"/>
        <w:ind w:left="0" w:right="0"/>
        <w:jc w:val="left"/>
      </w:pPr>
      <w:r>
        <w:rPr>
          <w:color w:val="000000"/>
          <w:sz w:val="24"/>
          <w:szCs w:val="24"/>
        </w:rPr>
        <w:t xml:space="preserve">A letelepedés szabadsága az ida tartozó vállalkozás szabadságán keresztül, kifejezetten megköveteli a termőföld megszerzésének lehetőségét. Ez azonban nem jelenti feltétlenül a föld feletti tulajdonszerzés biztosításának köteleztettségét.</w:t>
      </w:r>
    </w:p>
    <w:p>
      <w:pPr>
        <w:pBdr/>
        <w:spacing w:before="240" w:after="240" w:line="240" w:lineRule="auto"/>
        <w:ind w:left="0" w:right="0"/>
        <w:jc w:val="left"/>
      </w:pPr>
      <w:r>
        <w:rPr>
          <w:color w:val="000000"/>
          <w:sz w:val="24"/>
          <w:szCs w:val="24"/>
        </w:rPr>
        <w:t xml:space="preserve">A tőkemozgás szabadsága alá fokozatosan kerültek a termőföldforgalmi viszonyok. Eredetileg ez a szabadság (az áruk szabad mozgásához hasonlóan) kizárólag ingókra vonatkozott. Azonban ez a kezdetben kiegészítő jellegű alapszabadság az uniós jogfejlődés során a legerősebb szabadsággá nőtte ki magát. Mivel a földben megtestesült tőke besorolása adás-vétele révén mozog, mára az alapszabadság megkövetelte akadályozási tilalmat kell érvényesíteni a földforgalmi viszonyokban is.</w:t>
      </w:r>
    </w:p>
    <w:p>
      <w:pPr>
        <w:pBdr/>
        <w:spacing w:before="240" w:after="240" w:line="240" w:lineRule="auto"/>
        <w:ind w:left="0" w:right="0"/>
        <w:jc w:val="left"/>
      </w:pPr>
      <w:r>
        <w:rPr>
          <w:color w:val="000000"/>
          <w:sz w:val="24"/>
          <w:szCs w:val="24"/>
        </w:rPr>
        <w:t xml:space="preserve">Eszerint nem csak bármiféle diszkriminatív megkülönböztetés tilos, de a szabadság kiteljesedését akadályozó, sőt, az ennek lehetőségét hordozó szabályozás sem megengedett. Ez igen leszűkíti a tagállamok mozgásterét, ebben a stratégiailag is fontos kérdésben. Bár az EUMSz 345. cikke éppen a tulajdoni rendek autonómiáját mondja ki, az EuB jogértelmezése szerint ez nem valósítható meg a szerződés egyéb rendelkezéseivel szembemenő módon.</w:t>
      </w:r>
    </w:p>
    <w:p>
      <w:pPr>
        <w:pBdr/>
        <w:spacing w:before="240" w:after="240" w:line="240" w:lineRule="auto"/>
        <w:ind w:left="0" w:right="0"/>
        <w:jc w:val="left"/>
      </w:pPr>
      <w:r>
        <w:rPr>
          <w:color w:val="000000"/>
          <w:sz w:val="24"/>
          <w:szCs w:val="24"/>
        </w:rPr>
        <w:t xml:space="preserve">Az elemzett két szabadsággal szemben csakis a Gebhard-tesztnek megfelelő rendelkezések állhatnak meg. Eszerint a korlátozás közérdekre kell irányuljon, ennek elérésére ténylegesen alkalmasnak kell lennie, nem lehet diszkriminatív, és nem mehet túl a szükséges mértéken. A szükséges mérték az EuB jogértelmezésében a legkevésbé korlátozó utat jelenti, ami meglátásom szerint egységesedés felé tolhatja el a tagállamok jogrendjeit.</w:t>
      </w:r>
    </w:p>
    <w:p>
      <w:pPr>
        <w:pBdr/>
        <w:spacing w:before="240" w:after="240" w:line="240" w:lineRule="auto"/>
        <w:ind w:left="0" w:right="0"/>
        <w:jc w:val="left"/>
      </w:pPr>
      <w:r>
        <w:rPr>
          <w:color w:val="000000"/>
          <w:sz w:val="24"/>
          <w:szCs w:val="24"/>
        </w:rPr>
        <w:t xml:space="preserve">A közérdek vizsgálata után megállapítható, hogy az olyan földforgalmi szabályozás, ami az "azé legyen a föld, aki műveli" elvre épít, elfogadott az uniós jogban. Ez egy a jogügyleteket előzetesen ellenőrzés alá vonó közigazgatási eljárással párosítva alkalmas lehet arra, hogy Magyarország termőföldjének túlnyomó része magyar gazdák tulajdonában maradjon.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89771">
    <w:multiLevelType w:val="hybridMultilevel"/>
    <w:lvl w:ilvl="0" w:tplc="34075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89771">
    <w:abstractNumId w:val="60489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568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