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ZLINSZKY</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Mihály Kurucz</w:t>
            </w:r>
          </w:p>
          <w:p w:rsidR="00DB4822" w:rsidRDefault="00DB4822" w:rsidP="00E11062">
            <w:pPr>
              <w:pStyle w:val="Konzulensek"/>
            </w:pPr>
            <w:r w:rsidRPr="00DB4822">
              <w:t>associate professor, ELTE ÁJK</w:t>
            </w:r>
          </w:p>
        </w:tc>
      </w:tr>
      <w:tr w:rsidR="00DB4822" w:rsidTr="00DB4822">
        <w:tc>
          <w:tcPr>
            <w:tcW w:w="9854" w:type="dxa"/>
          </w:tcPr>
          <w:p w:rsidR="00DB4822" w:rsidRPr="00DB4822" w:rsidRDefault="00DB4822" w:rsidP="004D7940">
            <w:pPr>
              <w:pStyle w:val="Konzulensek"/>
            </w:pPr>
            <w:r w:rsidRPr="00DB4822">
              <w:t>Tamás Lábady</w:t>
            </w:r>
          </w:p>
          <w:p w:rsidR="00DB4822" w:rsidRDefault="00DB4822" w:rsidP="00E11062">
            <w:pPr>
              <w:pStyle w:val="Konzulensek"/>
            </w:pPr>
            <w:r w:rsidRPr="00DB4822">
              <w:t>associate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conditions of land property law in the European Union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Hungary became a member of the European Union in 2004. After ten years monatory on national land property law, our parlament is engaged to form the hungarian land property bill (1994. LV.) so that it agrees the European Union's land property law conditions. These conditions are analized in this paper.</w:t>
      </w:r>
    </w:p>
    <w:p>
      <w:pPr>
        <w:pBdr/>
        <w:spacing w:before="240" w:after="240" w:line="240" w:lineRule="auto"/>
        <w:ind w:left="0" w:right="0"/>
        <w:jc w:val="left"/>
      </w:pPr>
      <w:r>
        <w:rPr>
          <w:color w:val="000000"/>
          <w:sz w:val="24"/>
          <w:szCs w:val="24"/>
        </w:rPr>
        <w:t xml:space="preserve">I found that the Common Agricultural Policy contain no disposals about the issues of land property law. Articels of the Treaty on the Functioning of the European Union (TFEU) give this section's borders. From the four freedoms two, the freedom of estabilishment and the freedom of capital do have an affect on the land property law of the member states.</w:t>
      </w:r>
    </w:p>
    <w:p>
      <w:pPr>
        <w:pBdr/>
        <w:spacing w:before="240" w:after="240" w:line="240" w:lineRule="auto"/>
        <w:ind w:left="0" w:right="0"/>
        <w:jc w:val="left"/>
      </w:pPr>
      <w:r>
        <w:rPr>
          <w:color w:val="000000"/>
          <w:sz w:val="24"/>
          <w:szCs w:val="24"/>
        </w:rPr>
        <w:t xml:space="preserve">The freedom of estabilishment ensures that land must be available to any legal entity in the EU. It is clear, that this right doesn't mean the right of property on land.</w:t>
      </w:r>
    </w:p>
    <w:p>
      <w:pPr>
        <w:pBdr/>
        <w:spacing w:before="240" w:after="240" w:line="240" w:lineRule="auto"/>
        <w:ind w:left="0" w:right="0"/>
        <w:jc w:val="left"/>
      </w:pPr>
      <w:r>
        <w:rPr>
          <w:color w:val="000000"/>
          <w:sz w:val="24"/>
          <w:szCs w:val="24"/>
        </w:rPr>
        <w:t xml:space="preserve">Because land property is under the freedom of capital in the EU, the bills of the member states are bond not to interfere this freedom in any way.</w:t>
      </w:r>
    </w:p>
    <w:p>
      <w:pPr>
        <w:pBdr/>
        <w:spacing w:before="240" w:after="240" w:line="240" w:lineRule="auto"/>
        <w:ind w:left="0" w:right="0"/>
        <w:jc w:val="left"/>
      </w:pPr>
      <w:r>
        <w:rPr>
          <w:color w:val="000000"/>
          <w:sz w:val="24"/>
          <w:szCs w:val="24"/>
        </w:rPr>
        <w:t xml:space="preserve">That  condition made the restrictions of the land property bills of the member states standing on thin ice.Only public interest can give grounds for this regulations if it respond the Gerbhard-test.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976444">
    <w:multiLevelType w:val="hybridMultilevel"/>
    <w:lvl w:ilvl="0" w:tplc="23783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976444">
    <w:abstractNumId w:val="399764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55032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