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IVÁNYI JUDIT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9. 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Jog- és Államtudományi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Tattay Levente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PPKE JÁK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Tokaj a miénk? A tokaji bor eredetvédelméhez kapcsolódó jogi szabályozás, a védelemhez kapcsolódó jogi problémák, a szlovák-magyar borvita elemzése a vonatkozó és nemzetközi, valamint uniós szabályozás tükrében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Amikor dolgozatom témájaként választottam a tokaji bort és annak régóta tartó utánzását, valamint bitorlását, arra tudtam gondolni, hogy olyan presztízs értékű termékről van szó, amely a magyar kultúra Nemzeti Himnuszunkban is jelenlevő azonosító értéke, és amely a Világörökség részeként is elismerést nyert.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Igyekszem a Tokaj eredetmegjelölés veszélyeztetését szemléltetni, melynek során bemutatom magát a Tokaji Borvidéket, és azt, hogy mitől is olyan különleges ez a bor. A továbbiakban a jogi szabályozás, a nemzetközi egyezmények és az EU szabályozás bemutatásán keresztül, majd Tokaj földrajzi árujelzővel kapcsolatos jogi problémák felvázolását követően eljutok a tokaji borok leginkább aktuális, akut problematikájához: a szlovák Tokajské Vinohradnicka Oblast és a Tokajské Vino megjelölések tömeges használatához. A kérdés komplex tanulmányozása alapján arra a következtetésre jutottam, hogy a szlovákok a két földrajzi név nemzetközi jogba ütköző megtévesztő használatával nagymértékben veszélyeztetik a Tokaji aszúborok Hungaricumként is elismert évszázados hírnevét és megkérdőjelezik nemzetközileg elismert értékét, így a magyar aggodalom korántsem alaptalan.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általam végzett elemzés bemutatja a kifogásolt szlovák névhasználat okát, és történeti hátterét, valamint jogi és gazdasági érveket sorakoztatok fel a magyar tokaji megtartása mellett. Fordulópontot jelentett, hogy hazánk 2010-ben az EU Bizottsága ellen keresetet nyújtott be az Európai Törvényszékhez ennek az áldatnak állapotnak a megszüntetése érdekében.</w:t>
      </w:r>
      <w:r>
        <w:rPr>
          <w:color w:val="000000"/>
          <w:sz w:val="24"/>
          <w:szCs w:val="24"/>
        </w:rPr>
        <w:br/>
        <w:t xml:space="preserve">Mindezek ellenére racionálisan gondolkozva (valamint leendő jogászként) és ismerve az EU eddigi álláspontját a kérdésben, de lege ferenda javaslatként megállapodás megkötését szorgalmazom a két ország között.</w:t>
      </w:r>
      <w:r>
        <w:rPr>
          <w:color w:val="000000"/>
          <w:sz w:val="24"/>
          <w:szCs w:val="24"/>
        </w:rPr>
        <w:br/>
        <w:t xml:space="preserve">Magyarként, dolgozatom címétől eltérő hangsúllyal azonban azt gondolom, maradjon Tokaj a miénk!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8484039">
    <w:multiLevelType w:val="hybridMultilevel"/>
    <w:lvl w:ilvl="0" w:tplc="5728074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8484039">
    <w:abstractNumId w:val="4848403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0169745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