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EMESE</w:t>
            </w:r>
          </w:p>
          <w:p w:rsidR="00C275A3" w:rsidRDefault="00A96AEC" w:rsidP="00C275A3">
            <w:pPr>
              <w:pStyle w:val="Hallgatokepzes"/>
            </w:pPr>
            <w:r>
              <w:t>Építőmérnöki</w:t>
            </w:r>
            <w:r>
              <w:br/>
            </w:r>
            <w:r w:rsidR="00E77B23">
              <w:t>BSc, 9.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Zsigovics István</w:t>
            </w:r>
          </w:p>
          <w:p w:rsidR="00DB4822" w:rsidRDefault="00DB4822" w:rsidP="00E11062">
            <w:pPr>
              <w:pStyle w:val="Konzulensek"/>
            </w:pPr>
            <w:r w:rsidRPr="00DB4822">
              <w:t>adjunktus,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Betonok fagyállósági és kopásállósági teljesítőképességének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témája az újfajta, jelenleg használatos, szintetikus alapanyagú légbuborék képzők hatásának vizsgálata a beton fagyállóságára és kopásállóságára, összehasonlítva a régebbi típusú, gyanta alapanyagú légbuborék képzők hatásával.</w:t>
      </w:r>
      <w:r>
        <w:rPr>
          <w:color w:val="000000"/>
          <w:sz w:val="24"/>
          <w:szCs w:val="24"/>
        </w:rPr>
        <w:br/>
        <w:t xml:space="preserve">Az ÚT 2-3.201 beton pályaburkolatok építése, építési előírások, követelményét Útügyi Műszaki Előírás, a beton fagyállóságára ad meg minősítési értéket, azonban a kopásállóságra nem tesz kitételt. Az irodalomban felvetették annak a fontosságát, hogy az újfajta légbuborékképzők miatt újra kellene vizsgálni a kb. 40 évvel ezelőtt kialakított, a távolsági tényezőre, és frissbeton légtartalomra vonatkozó irányelveket és követelményeket.</w:t>
      </w:r>
      <w:r>
        <w:rPr>
          <w:color w:val="000000"/>
          <w:sz w:val="24"/>
          <w:szCs w:val="24"/>
        </w:rPr>
        <w:br/>
        <w:t xml:space="preserve">Jelen kutatás ezen kérdésfelvetések tisztázásához és a fagyálló betonok teljesítőképességének jobb megértéséhez szeretne hozzájárulni.</w:t>
      </w:r>
      <w:r>
        <w:rPr>
          <w:color w:val="000000"/>
          <w:sz w:val="24"/>
          <w:szCs w:val="24"/>
        </w:rPr>
        <w:br/>
        <w:t xml:space="preserve">Laboratóriumi vizsgálatokkal vizsgáltam egy CP4/2,7-XF4-32-F2 jelű burkolati beton fagyállóságának és kopásállóságának teljesítőképességét. Különböző légbuborék mennyiségek és két fajta légbuborék képző adalékszer mellett két fajta cementtípust alkalmaztam. Az adalékanyag váz változatlan minden keverékben, amelyet kiszárított állapotban használtam fel. Összesen 16 keveréket gyártottam, és elvégeztem a szükséges frissbeton vizsgálatokat (konzisztencia-, légtartalom-, testsűrűség mérés). A próbatesteket a megszilárdult beton vizsgálatoknak megfelelően előkészítettem, majd elvégeztem a fagylehámlás-, a távolsági tényező-, a vízfelvétel-, a nyomószilárdság-, és a kopásállóság vizsgálatait. Vizsgáltam a légbuborék tartalom és a nyomószilárdság összefüggését mindkét adalékszer esetében. Elvégeztem a betonok kopásállóság vizsgálatát Böhme kopásállóság vizsgáló eszközön és összefüggést kerestem a betonok fagyállósági és kopásállósági teljesítőképessége között. Ajánlásokat fogalmaztam meg az optimális légbuborék tartalomra, hogy a fagyállóság mellett a legjobb kopásállóságot és nyomószilárdságot lehessen biztosítani a térburkolati betonok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51717">
    <w:multiLevelType w:val="hybridMultilevel"/>
    <w:lvl w:ilvl="0" w:tplc="13775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51717">
    <w:abstractNumId w:val="25551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6410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