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GÁL</w:t>
            </w:r>
          </w:p>
          <w:p w:rsidR="00C275A3" w:rsidRDefault="00A96AEC" w:rsidP="00C275A3">
            <w:pPr>
              <w:pStyle w:val="Hallgatokepzes"/>
            </w:pPr>
            <w:r>
              <w:t>Civil Engineering</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Zsigovics</w:t>
            </w:r>
          </w:p>
          <w:p w:rsidR="00DB4822" w:rsidRDefault="00DB4822" w:rsidP="00E11062">
            <w:pPr>
              <w:pStyle w:val="Konzulensek"/>
            </w:pPr>
            <w:r w:rsidRPr="00DB4822">
              <w:t>assistant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performance of freeze-thaw and abrasion resistant concrete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the effect of recently developed, synthetic air-entraining admixtures is examined in respect of the freeze-thaw-, and abrasion resistance of concrete compared to the earlier, resin type air-entraining admixtures.</w:t>
      </w:r>
      <w:r>
        <w:rPr>
          <w:color w:val="000000"/>
          <w:sz w:val="24"/>
          <w:szCs w:val="24"/>
        </w:rPr>
        <w:br/>
        <w:t xml:space="preserve">The construction of concrete pavement and the regulation of construction referred to in the Hungarian Highway Administration Regulations ÚT 2-3.201 “Construction of Concrete Pavements”, gives classification to the freeze-thaw resistance, but not to the abrasion resistance. The importance of the effect of recently developed air-entraining admixture is highlighted, because the guidelines and requirements, which were based on the air content of the concrete and the spacing factor, were established 40 years ago.</w:t>
      </w:r>
      <w:r>
        <w:rPr>
          <w:color w:val="000000"/>
          <w:sz w:val="24"/>
          <w:szCs w:val="24"/>
        </w:rPr>
        <w:br/>
        <w:t xml:space="preserve">This research would like to contribute to the better understanding of the performance of the freeze-thaw resistant concrete.</w:t>
      </w:r>
      <w:r>
        <w:rPr>
          <w:color w:val="000000"/>
          <w:sz w:val="24"/>
          <w:szCs w:val="24"/>
        </w:rPr>
        <w:br/>
        <w:t xml:space="preserve">The freeze-thaw resistance performance of a concrete pavement - CP4/2,7-XF4-32-F2 – was examined with laboratory tests. Besides different amounts of volumetric air content, and two types of air-entraining admixtures, two types of cement were applied. The aggregate structure, which was dried out, was the same in every mixture. Altogether 16 mixtures were produced, and the necessary fresh concrete tests (consistency, volumetric air content, body density of concrete) were carried out. The specimens were carefully prepared for the following tests: freeze-thaw and abrasion resistance, spacing factor, water absorption and compressive strength. The correlation between volumetric air content and compressive strength was examined in case of both admixtures. The abrasion resistance test was also carried out, and the correlation between the performance of freeze-thaw and abrasion resistance was examined. Recommendations were formulated to the optimal volumetric air content for concrete pavements that can provide the possible best freeze-thaw resistance, the best abrasion resistance and compressive strength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60064">
    <w:multiLevelType w:val="hybridMultilevel"/>
    <w:lvl w:ilvl="0" w:tplc="32601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60064">
    <w:abstractNumId w:val="761600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0929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