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VINCZLÉR</w:t>
            </w:r>
          </w:p>
          <w:p w:rsidR="00C275A3" w:rsidRDefault="00A96AEC" w:rsidP="00C275A3">
            <w:pPr>
              <w:pStyle w:val="Hallgatokepzes"/>
            </w:pPr>
            <w:r>
              <w:t>Civil Engineer</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Dudás PhD</w:t>
            </w:r>
          </w:p>
          <w:p w:rsidR="00DB4822" w:rsidRDefault="00DB4822" w:rsidP="00E11062">
            <w:pPr>
              <w:pStyle w:val="Konzulensek"/>
            </w:pPr>
            <w:r w:rsidRPr="00DB4822">
              <w:t>assistant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Building energetic examination of refurbished loam buildings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Using the soil as basic material of construction goes back to thousands of years in the history of building. The majority of cob buildings in Hungary were built decades ago, so by now their renovation may have become necessary besides their continuous maintenance.</w:t>
      </w:r>
    </w:p>
    <w:p>
      <w:pPr>
        <w:pBdr/>
        <w:spacing w:before="240" w:after="240" w:line="240" w:lineRule="auto"/>
        <w:ind w:left="0" w:right="0"/>
        <w:jc w:val="left"/>
      </w:pPr>
      <w:r>
        <w:rPr>
          <w:color w:val="000000"/>
          <w:sz w:val="24"/>
          <w:szCs w:val="24"/>
        </w:rPr>
        <w:t xml:space="preserve">The topic of the project is the renovation of loam buildings highlighting construction energetics aspects besides examining the possible solutions of occurrent structural problems.</w:t>
      </w:r>
    </w:p>
    <w:p>
      <w:pPr>
        <w:pBdr/>
        <w:spacing w:before="240" w:after="240" w:line="240" w:lineRule="auto"/>
        <w:ind w:left="0" w:right="0"/>
        <w:jc w:val="left"/>
      </w:pPr>
      <w:r>
        <w:rPr>
          <w:color w:val="000000"/>
          <w:sz w:val="24"/>
          <w:szCs w:val="24"/>
        </w:rPr>
        <w:t xml:space="preserve">During the procession of the topic ad the selection of structural types it is extremely important to pay attention to nature friendly and environmental conscious construction.</w:t>
      </w:r>
    </w:p>
    <w:p>
      <w:pPr>
        <w:pBdr/>
        <w:spacing w:before="240" w:after="240" w:line="240" w:lineRule="auto"/>
        <w:ind w:left="0" w:right="0"/>
        <w:jc w:val="left"/>
      </w:pPr>
      <w:r>
        <w:rPr>
          <w:color w:val="000000"/>
          <w:sz w:val="24"/>
          <w:szCs w:val="24"/>
        </w:rPr>
        <w:t xml:space="preserve">The base of the investigation of the project makes up currently inhabited properties, which have become processed during individual study.</w:t>
      </w:r>
    </w:p>
    <w:p>
      <w:pPr>
        <w:pBdr/>
        <w:spacing w:before="240" w:after="240" w:line="240" w:lineRule="auto"/>
        <w:ind w:left="0" w:right="0"/>
        <w:jc w:val="left"/>
      </w:pPr>
      <w:r>
        <w:rPr>
          <w:color w:val="000000"/>
          <w:sz w:val="24"/>
          <w:szCs w:val="24"/>
        </w:rPr>
        <w:t xml:space="preserve">Construction energetics calculations were made on four different types of dwellings preceded by 15 going-overs. The construction energetics calculation was made based on the 7/2006 TNM edict primarily taking the original and current layer order and construction structure as its starting point. During the investigations the buildings’ specific structural and energetics deficiencies have become numerically demonstrable.</w:t>
      </w:r>
    </w:p>
    <w:p>
      <w:pPr>
        <w:pBdr/>
        <w:spacing w:before="240" w:after="240" w:line="240" w:lineRule="auto"/>
        <w:ind w:left="0" w:right="0"/>
        <w:jc w:val="left"/>
      </w:pPr>
      <w:r>
        <w:rPr>
          <w:color w:val="000000"/>
          <w:sz w:val="24"/>
          <w:szCs w:val="24"/>
        </w:rPr>
        <w:t xml:space="preserve">The next part of the project is about t he possible renovation solutions. Here you can find the analysis of the optional/eligible heat technology possibilities (outside and inside lagging, attic and floor lagging) and the additional use of damp-course (grout, floor and plinth lagging).</w:t>
      </w:r>
    </w:p>
    <w:p>
      <w:pPr>
        <w:pBdr/>
        <w:spacing w:before="240" w:after="240" w:line="240" w:lineRule="auto"/>
        <w:ind w:left="0" w:right="0"/>
        <w:jc w:val="left"/>
      </w:pPr>
      <w:r>
        <w:rPr>
          <w:color w:val="000000"/>
          <w:sz w:val="24"/>
          <w:szCs w:val="24"/>
        </w:rPr>
        <w:t xml:space="preserve">Having these selected the construction energetics calculations on the new layer order were made, which also served the purpose of regulation.</w:t>
      </w:r>
    </w:p>
    <w:p>
      <w:pPr>
        <w:pBdr/>
        <w:spacing w:before="240" w:after="240" w:line="240" w:lineRule="auto"/>
        <w:ind w:left="0" w:right="0"/>
        <w:jc w:val="left"/>
      </w:pPr>
      <w:r>
        <w:rPr>
          <w:color w:val="000000"/>
          <w:sz w:val="24"/>
          <w:szCs w:val="24"/>
        </w:rPr>
        <w:t xml:space="preserve">As a point of reference, the evaluation of the layer order after renovation is compared to the results based on the present situation and also followed by the possible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39584">
    <w:multiLevelType w:val="hybridMultilevel"/>
    <w:lvl w:ilvl="0" w:tplc="42255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39584">
    <w:abstractNumId w:val="16839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9636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