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KOLOZSI PÉTER</w:t>
            </w:r>
          </w:p>
          <w:p w:rsidR="00C275A3" w:rsidRDefault="00A96AEC" w:rsidP="00C275A3">
            <w:pPr>
              <w:pStyle w:val="Hallgatokepzes"/>
            </w:pPr>
            <w:r>
              <w:t>Structures and Geotechnics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Vigh László Gergely</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 analysis of the deck surfacing of Tiszavirág Footbridge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Along with the investigation of structural responses, dynamic load test of the Tiszavirág Footbridge in 2010 was focusing on pedestrian comfort criteria limits and requirements. Elastic deck surfacing systems tend to govern the rate of dynamic impact on the structure, indirectly influencing the perception of structural responses and comfort feel of pedestrian. Tiszavirág Footbridge has a wood-polymer-composite (WPC) surface installed providing elastic interaction between pedestrian and the steel grillage deck. Coprising the welded plate girder grillage and the elastic WPC surfacing, the deck has inhomogeneous stiffness, on which the magnitude of perceptible accelerations depends on the point of perception.</w:t>
      </w:r>
    </w:p>
    <w:p>
      <w:pPr>
        <w:pBdr/>
        <w:spacing w:before="240" w:after="240" w:line="240" w:lineRule="auto"/>
        <w:ind w:left="0" w:right="0"/>
        <w:jc w:val="left"/>
      </w:pPr>
      <w:r>
        <w:rPr>
          <w:color w:val="000000"/>
          <w:sz w:val="24"/>
          <w:szCs w:val="24"/>
        </w:rPr>
        <w:t xml:space="preserve">This TDK paper focuses on accelerations arising at different spots of deck due to the moving dynamic load cases of the dynamic load test. First, several dynamic load cases are simulated on the global model of the bridge, hence the relevant acceleration and displacement diagrams may be determined by the veryfied global model. Secondly, an interior panel from the stiffening girder is modeled by Ansys. The vertical and lateral displacement diagrams – determined by the global model – are imposed on the four corner nodes of the panel as displacement constraints. As results of the transient analysis, peak acceleration values along the modelled WPC plank are graphed followed by the evaluation of the relevant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78824">
    <w:multiLevelType w:val="hybridMultilevel"/>
    <w:lvl w:ilvl="0" w:tplc="35925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78824">
    <w:abstractNumId w:val="53078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790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