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FISCHER ALIZ RÁHEL</w:t>
            </w:r>
          </w:p>
          <w:p w:rsidR="00C275A3" w:rsidRDefault="00A96AEC" w:rsidP="00C275A3">
            <w:pPr>
              <w:pStyle w:val="Hallgatokepzes"/>
            </w:pPr>
            <w:r>
              <w:t>Építőmérnöki szak</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Vigh László Gergely</w:t>
            </w:r>
          </w:p>
          <w:p w:rsidR="00DB4822" w:rsidRDefault="00DB4822" w:rsidP="00E11062">
            <w:pPr>
              <w:pStyle w:val="Konzulensek"/>
            </w:pPr>
            <w:r w:rsidRPr="00DB4822">
              <w:t>Egyetemi docens,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Épületek külső robbanásteherre történő méretezése az Eurocode alapján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Szerkezetek külső – természetes hatásból vagy szándékos cselekedetből eredő – robbanásteherre történő méretezése speciális feladat. Az Eurocode szabványsorozat hatályos verziója a külső robbanásterhekkel és a kapcsolódó méretezéssel nem foglalkozik. TDK dolgozatom fő célja, hogy a nemzetközi szakirodalomban fellelhető eljárások alapján összeállítsak és bemutassak egy, az Eurocode-ba adaptálható, az Eurocode szemléletének megfeleltethető módszert, amely magában foglalja a teherfelvétel, az analízis és a méretezés módját. További cél az eljárás mintapéldán keresztüli bemutatása, valamint a robbanásteherre történő méretezésnek - a hagyományos méretezéshez képest - a megfelelő épületszerkezeti konfiguráció megválasztására gyakorolt hatásának illusztrációja.</w:t>
      </w:r>
      <w:r>
        <w:rPr>
          <w:color w:val="000000"/>
          <w:sz w:val="24"/>
          <w:szCs w:val="24"/>
        </w:rPr>
        <w:br/>
        <w:t xml:space="preserve">Munkámban kizárólag az épületen kívüli szándékos robbantásokkal és azoknak az épületre gyakorolt hatásával foglalkozom. Elsőként összefoglalom a szakirodalomban már fellelhető méretezési eljárásokat. Kitérek a teher felvételének lehetőségeire, a szerkezeti anyagok adott körülmények közötti viselkedésére, illetve a szerkezeti analízis lehetséges módjaira. Bemutatom az alapvető tervezési koncepciókat, beleértve a helyszínrajzi, építészeti, valamint a szerkezeti kialakítást is. Ezen kívül a dolgozat ismerteti a lehetséges tervezési szinteket, azaz az épületben és az emberéletben keletkező kár mértékét illető elvárásokat.</w:t>
      </w:r>
      <w:r>
        <w:rPr>
          <w:color w:val="000000"/>
          <w:sz w:val="24"/>
          <w:szCs w:val="24"/>
        </w:rPr>
        <w:br/>
        <w:t xml:space="preserve">E források felhasználásával, továbbá az Eurocode földrengési hatásra történő méretezési eljárásokra vonatkozó szabványainak segítségével összeállítottam egy, az Eurocode szemléletének megfeleltethető lehetséges méretezési eljárást. Ez magában foglalja a teherfelvételt, a vizsgálandó határállapotokat, a szerkezeti anyag robbanásteher alatti viselkedésének és a szerkezeti analízisnek a módját. A méretezési eljárás rugalmas elmélet alapján történik.</w:t>
      </w:r>
      <w:r>
        <w:rPr>
          <w:color w:val="000000"/>
          <w:sz w:val="24"/>
          <w:szCs w:val="24"/>
        </w:rPr>
        <w:br/>
        <w:t xml:space="preserve">Egy mintapéldán keresztül bemutatom az eljárás menetét. Egy négyszintes, acélvázas, vasbeton födémes irodaház merevítőrendszere kerül méretezésre. Több változatot is összehasonlítok az optimális szerkezet felkutatása érdekében, majd az optimálisnak választott kialakításon keresztül paraméteres vizsgálat keretében megmutatom, hogy a robbanásteher és a viselkedés szempontjából releváns változók hogyan befolyásolják a végleges szerkezeti kialakítást, illetve az épület károsodásának mértékét.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71585">
    <w:multiLevelType w:val="hybridMultilevel"/>
    <w:lvl w:ilvl="0" w:tplc="19570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71585">
    <w:abstractNumId w:val="680715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60684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