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ALIZ RÁHEL FISCHER</w:t>
            </w:r>
          </w:p>
          <w:p w:rsidR="00C275A3" w:rsidRDefault="00A96AEC" w:rsidP="00C275A3">
            <w:pPr>
              <w:pStyle w:val="Hallgatokepzes"/>
            </w:pPr>
            <w:r>
              <w:t>Civil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Gergely Vigh, PhD</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Eurocode Based Design of Buildings for External Blast Loads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structural design of buildings to resist – intentional or unintentional – external blast effects is a special task. The current Eurocode standard does not deal with the problem of external blast loads, neither with blast-resistant design. The objective of my work is to create and present a Eurocode based design method with the help of existing procedures shown in international references. The procedure - including the acting forces, the analysis and the design itself - is demonstrated through an example where the effects of the blast resistant design to the structural construction are also introduced.</w:t>
      </w:r>
      <w:r>
        <w:rPr>
          <w:color w:val="000000"/>
          <w:sz w:val="24"/>
          <w:szCs w:val="24"/>
        </w:rPr>
        <w:br/>
        <w:t xml:space="preserve">The study only takes into consideration the external conventional terrorist bomb attacks and its effects on buildings. First it summarizes the design methods existing in international references, including applicable blast loads, dynamic strength of materials and the methods of analysis. It introduces design guidance for site planning, architectural and structural design as well. The paper defines the possible levels of protection, the allowable structural damage and injuries, thus the performance goals.</w:t>
      </w:r>
      <w:r>
        <w:rPr>
          <w:color w:val="000000"/>
          <w:sz w:val="24"/>
          <w:szCs w:val="24"/>
        </w:rPr>
        <w:br/>
        <w:t xml:space="preserve">Using these references and the earthquake-related standards of the Eurocode a design method and its potential adaptation to Eurocode was prepared. It includes the application of the blast loads, the load combinations, the limit states, the behavior of the materials under blast effects and the structural analysis. The design considered the response of the system staying in the elastic range.</w:t>
      </w:r>
      <w:r>
        <w:rPr>
          <w:color w:val="000000"/>
          <w:sz w:val="24"/>
          <w:szCs w:val="24"/>
        </w:rPr>
        <w:br/>
        <w:t xml:space="preserve">An illustrative example shows the process of the design. The bracing system of a four-story steel building with reinforced concrete floors is calculated. Several versions are compared to find the optimal overall design. Through the chosen structural system the effects of the blast load relevant parameters to the overall design and the level of damage occurring in the building is demonstrated using parametric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53758">
    <w:multiLevelType w:val="hybridMultilevel"/>
    <w:lvl w:ilvl="0" w:tplc="57304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53758">
    <w:abstractNumId w:val="74353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928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