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JUNI</w:t>
            </w:r>
          </w:p>
          <w:p w:rsidR="00C275A3" w:rsidRDefault="00A96AEC" w:rsidP="00C275A3">
            <w:pPr>
              <w:pStyle w:val="Hallgatokepzes"/>
            </w:pPr>
            <w:r>
              <w:t>Civil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Rózsa </w:t>
            </w:r>
          </w:p>
          <w:p w:rsidR="00DB4822" w:rsidRDefault="00DB4822" w:rsidP="00E11062">
            <w:pPr>
              <w:pStyle w:val="Konzulensek"/>
            </w:pPr>
            <w:r w:rsidRPr="00DB4822">
              <w:t>associate professor, BME ÉŐK</w:t>
            </w:r>
          </w:p>
        </w:tc>
      </w:tr>
      <w:tr w:rsidR="00DB4822" w:rsidTr="00DB4822">
        <w:tc>
          <w:tcPr>
            <w:tcW w:w="9854" w:type="dxa"/>
          </w:tcPr>
          <w:p w:rsidR="00DB4822" w:rsidRPr="00DB4822" w:rsidRDefault="00DB4822" w:rsidP="004D7940">
            <w:pPr>
              <w:pStyle w:val="Konzulensek"/>
            </w:pPr>
            <w:r w:rsidRPr="00DB4822">
              <w:t>Tamás Tuchband</w:t>
            </w:r>
          </w:p>
          <w:p w:rsidR="00DB4822" w:rsidRDefault="00DB4822" w:rsidP="00E11062">
            <w:pPr>
              <w:pStyle w:val="Konzulensek"/>
            </w:pPr>
            <w:r w:rsidRPr="00DB4822">
              <w:t>professor’s assistant,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global and regional ionosphere models under high solar flare activity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major systematic error sources of the global navigational satellite systems is the ionosphere. The ionosphere is the topmost part of the Earth's atmosphere, which contains significant amount of free electrons due to the ionizing radiation of the Sun. The effect of the ionosphere on microwave signals depends on the frequency of the signal, thus all of the systems use at least two different signal frequencies to eliminate the ionospheric effect on high accuracy positioning. The magnitude of the effect depends on the magnetic activity of the Sun. Currently the environmental conditions are optimal for ionospheric studies, since the magnetic activity of the Sun reaches it 11-year-maximum in the years 2013-2014.</w:t>
      </w:r>
    </w:p>
    <w:p>
      <w:pPr>
        <w:pBdr/>
        <w:spacing w:before="240" w:after="240" w:line="240" w:lineRule="auto"/>
        <w:ind w:left="0" w:right="0"/>
        <w:jc w:val="left"/>
      </w:pPr>
      <w:r>
        <w:rPr>
          <w:color w:val="000000"/>
          <w:sz w:val="24"/>
          <w:szCs w:val="24"/>
        </w:rPr>
        <w:t xml:space="preserve">The majority of GNSS users still use single frequency observations. In these cases the effect of the ionosphere is taken into account using empirical models. Ionosphere modelling has an utmost importance on the network RTK applications, too.</w:t>
      </w:r>
    </w:p>
    <w:p>
      <w:pPr>
        <w:pBdr/>
        <w:spacing w:before="240" w:after="240" w:line="240" w:lineRule="auto"/>
        <w:ind w:left="0" w:right="0"/>
        <w:jc w:val="left"/>
      </w:pPr>
      <w:r>
        <w:rPr>
          <w:color w:val="000000"/>
          <w:sz w:val="24"/>
          <w:szCs w:val="24"/>
        </w:rPr>
        <w:t xml:space="preserve">The observations of the International GNSS Service (IGS) and the EUREF Permanent Network (EPN) are used in this study to obtain global and regional ionosphere models in a test period in 2012 using the Bernese software. In the period (March) high solar activity could be observed.</w:t>
      </w:r>
    </w:p>
    <w:p>
      <w:pPr>
        <w:pBdr/>
        <w:spacing w:before="240" w:after="240" w:line="240" w:lineRule="auto"/>
        <w:ind w:left="0" w:right="0"/>
        <w:jc w:val="left"/>
      </w:pPr>
      <w:r>
        <w:rPr>
          <w:color w:val="000000"/>
          <w:sz w:val="24"/>
          <w:szCs w:val="24"/>
        </w:rPr>
        <w:t xml:space="preserve">The derived ionosphere models have been cross-validated using the models of international analysis centers. Moreover the accuracy of the algorithms applied in navigational receivers is evaluated,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67989">
    <w:multiLevelType w:val="hybridMultilevel"/>
    <w:lvl w:ilvl="0" w:tplc="52226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67989">
    <w:abstractNumId w:val="54467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948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