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 MÉSZÁROS MARCELL</w:t>
            </w:r>
          </w:p>
          <w:p w:rsidR="00C275A3" w:rsidRDefault="00A96AEC" w:rsidP="00C275A3">
            <w:pPr>
              <w:pStyle w:val="Hallgatokepzes"/>
            </w:pPr>
            <w:r>
              <w:t>Építőmérnöki</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Baranya Sándor</w:t>
            </w:r>
          </w:p>
          <w:p w:rsidR="00DB4822" w:rsidRDefault="00DB4822" w:rsidP="00E11062">
            <w:pPr>
              <w:pStyle w:val="Konzulensek"/>
            </w:pPr>
            <w:r w:rsidRPr="00DB4822">
              <w:t>adjunktus,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folyami közlekedés hatása szabályozott folyószakaszok áramlási viszonyaira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Duna hajózhatóságának kérdése majdhogynem egyidős a modern belvízi fuvarozással. Az utóbbi évtizedekben megnyitott Duna – Majna – Rajna csatorna viszont egy olyan lehetőséget teremtett, melyre egészen mostanáig várni kellett. Az európai kontinens keleti és nyugati kikötői végre összeköttetésben állhatnak egymással. Az Európai Unió által szorgalmazott intézkedés olyan irányokat hivatott képviselni, mely egy gazdaságos tranzit útvonalat kínál interkontinentális szinten. Az új piacok erősítik és biztosabbá teszik gazdasági kapcsolatait Ázsia egyre inkább fejlődő régióival. DMR ma már lehetővé teszi e kapcsolatot, de e vízi út kapacitásának határai messze vannak a jelenleg lezajlódó áruforgalmakétól. </w:t>
      </w:r>
    </w:p>
    <w:p>
      <w:pPr>
        <w:pBdr/>
        <w:spacing w:before="240" w:after="240" w:line="240" w:lineRule="auto"/>
        <w:ind w:left="0" w:right="0"/>
        <w:jc w:val="left"/>
      </w:pPr>
      <w:r>
        <w:rPr>
          <w:color w:val="000000"/>
          <w:sz w:val="24"/>
          <w:szCs w:val="24"/>
        </w:rPr>
        <w:t xml:space="preserve">Ma azt kell észrevennünk, hogy sajnos a teljes magyarországi szakasz szűk keresztmetszetűnek mondható hajózási szempontból. Hiába kitűzött cél az EU részéről a folyón történő szállítás erősítése, ha hazánk évtizedek óta elveti a hajózási út kérdésével való foglalkozást. E kérdésben ráadásul nem csak önnön magunkat veszélyeztetjük, és kerülünk versenyhátrányba, hanem a kontinens különböző államait, hajózási vállalatait. Tudni kell azt is, hogy Európa kelet – nyugati kapcsolatát erősítő dunai hajózás feltételeit sorra megteremtették –vagy kivitelezési fázisban van – az érintett országok. </w:t>
      </w:r>
    </w:p>
    <w:p>
      <w:pPr>
        <w:pBdr/>
        <w:spacing w:before="240" w:after="240" w:line="240" w:lineRule="auto"/>
        <w:ind w:left="0" w:right="0"/>
        <w:jc w:val="left"/>
      </w:pPr>
      <w:r>
        <w:rPr>
          <w:color w:val="000000"/>
          <w:sz w:val="24"/>
          <w:szCs w:val="24"/>
        </w:rPr>
        <w:t xml:space="preserve">Folyószabályozási kérdésben jelenleg nem támogatott a Duna hazai szakaszán bárminemű duzzasztómű létesítése, mely a legegyszerűbben oldaná meg a tárgyalt helyzetet, sok más előnyével együtt. Hagyományos folyószabályozási módok is rendelkezésre állnak, hogy biztosítani lehessen hosszabb időszakokra a megfelelő hajózási mélységeket, megfelelő szélességben. A korábbi években már számos tervezést megalapozó vizsgálat készült a folyószabályozási művek hatásainak elemzésére kisminta- és numerikus modellek alkalmazásával, de a hajózási sávban elvonuló uszályok, bárkák áramlásra kifejtett hatását eddig nem vizsgálták. Dolgozatom célja, hogy egy arra alkalmas kétdimenziós áramlási modellel megvizsgáljam a mozgó hajók által okozott nempermanens áramlási jelenségeket, elsősorban a folyószabályozási művek közötti terekre koncentrálva. A vizsgálatokat egyfelől egy sematizált csatornában hajtom végre, majd egy szabályozott Duna-szakaszra is végzek számításokat. A modellfuttatások eredményeként a megváltozott áramlási jellemzők és a hajó paraméterek közötti összefüggéseket állítok fel.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55878">
    <w:multiLevelType w:val="hybridMultilevel"/>
    <w:lvl w:ilvl="0" w:tplc="795244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55878">
    <w:abstractNumId w:val="449558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00659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