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MAKKA</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Richárd Horváth</w:t>
            </w:r>
          </w:p>
          <w:p w:rsidR="00DB4822" w:rsidRDefault="00DB4822" w:rsidP="00E11062">
            <w:pPr>
              <w:pStyle w:val="Konzulensek"/>
            </w:pPr>
            <w:r w:rsidRPr="00DB4822">
              <w:t>Institute Engineer,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end mills with special edge-geometry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In my essay I compared the axial and radial force components of the four different type of mill edge-geometry and I also analyzed the occurring torque as well as the formation and the sharpening of these tools. Before the experiment it was probable that the tools with the chamfer had to have better cutting properties, but the effect of the cutting scale was unknown until now.</w:t>
      </w:r>
    </w:p>
    <w:p>
      <w:pPr>
        <w:pBdr/>
        <w:spacing w:before="240" w:after="240" w:line="240" w:lineRule="auto"/>
        <w:ind w:left="0" w:right="0"/>
        <w:jc w:val="left"/>
      </w:pPr>
      <w:r>
        <w:rPr>
          <w:color w:val="000000"/>
          <w:sz w:val="24"/>
          <w:szCs w:val="24"/>
        </w:rPr>
        <w:t xml:space="preserve">  In order to carry out the experiment I needed a well evaluated experiment-plan in which I could examine 3 independent cutting parameter in a relatively wide range. My examined tools were four identical four-edged carbide end mills, of which one was ordinary and round edged while the other three were made with different chamfers.My main task was to find out, how the difference of the edge-shape by itself could influence the torque and the force demand of the tools. The further results of the examination answer, if there is a significant difference between the measured characteristics of the tools. It also shows which edge-shape contributes to the minimization of these attributes.</w:t>
      </w:r>
    </w:p>
    <w:p>
      <w:pPr>
        <w:pBdr/>
        <w:spacing w:before="240" w:after="240" w:line="240" w:lineRule="auto"/>
        <w:ind w:left="0" w:right="0"/>
        <w:jc w:val="left"/>
      </w:pPr>
      <w:r>
        <w:rPr>
          <w:color w:val="000000"/>
          <w:sz w:val="24"/>
          <w:szCs w:val="24"/>
        </w:rPr>
        <w:t xml:space="preserve">  The results clearly show that the torque and the force demand of the tools with the 0.4mm and 0.6 mm chamfers decreased (by the scale of the cuttings), but it didn’t differentiate significantly. The average amount of the total force and torque decreased by half, and the peripheral force demand barely depended on the cutting scale parameters when it came to the tool with the R1x0,8x45° edge-shape.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14012">
    <w:multiLevelType w:val="hybridMultilevel"/>
    <w:lvl w:ilvl="0" w:tplc="58890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14012">
    <w:abstractNumId w:val="62614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047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