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SZÜSZ</w:t>
            </w:r>
          </w:p>
          <w:p w:rsidR="00C275A3" w:rsidRDefault="00A96AEC" w:rsidP="00C275A3">
            <w:pPr>
              <w:pStyle w:val="Hallgatokepzes"/>
            </w:pPr>
            <w:r>
              <w:t>security and defense policy</w:t>
            </w:r>
            <w:r>
              <w:br/>
            </w:r>
            <w:r w:rsidR="00E77B23">
              <w:t>MSc, 9.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Ruppert</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country of contradictions: Tensions between economic and social security in Brazil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following study aims to highlight one of the most important contradictions of Brazilian economic development. The international literature has been analyzing the Brazilian "economic wonder" for almost a decade now, however, less attention has been devoted to the inherent contradictions of Brazilian economic growth. The study puts forth that despite the large growth of the Brazilian economy and a number of relatively effective social and economic programs, Brazilian economic development failed to close the enormous gap between various segments of the country's society. This is to say that the large amount of added value that has been produced in the past decade is only spread among a privileged few, whereas millions of people still live in poverty. It mus also be noted, however, that despite all this, social and economic policies of the past decade have also been relatively successful in lifting large segments of Brazilian people from poverty.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82314">
    <w:multiLevelType w:val="hybridMultilevel"/>
    <w:lvl w:ilvl="0" w:tplc="90833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82314">
    <w:abstractNumId w:val="11782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631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