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VARGA</w:t>
            </w:r>
          </w:p>
          <w:p w:rsidR="00C275A3" w:rsidRDefault="00A96AEC" w:rsidP="00C275A3">
            <w:pPr>
              <w:pStyle w:val="Hallgatokepzes"/>
            </w:pPr>
            <w:r>
              <w:t>military leadership</w:t>
            </w:r>
            <w:r>
              <w:br/>
            </w:r>
            <w:r w:rsidR="00E77B23">
              <w:t>BSc, 6.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Lt. Col. ret. Dr. Attila Furján</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actualities of target observation and target data processing at artillery units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 a result of the collapse of the Warsaw Pact, the NATO-membership of Hungary, and the army reform(s), the Hungarian Defence Force has become a theatre of changes in the last 25 years. However, not just the HDF, but the political system and warfare itself crucially has changed with it. The conditions of international operations became different, new principles appeared that make effects on the armed forces of participating nations, and on the HDF as well.</w:t>
      </w:r>
    </w:p>
    <w:p>
      <w:pPr>
        <w:pBdr/>
        <w:spacing w:before="240" w:after="240" w:line="240" w:lineRule="auto"/>
        <w:ind w:left="0" w:right="0"/>
        <w:jc w:val="left"/>
      </w:pPr>
      <w:r>
        <w:rPr>
          <w:color w:val="000000"/>
          <w:sz w:val="24"/>
          <w:szCs w:val="24"/>
        </w:rPr>
        <w:t xml:space="preserve">On the basis of aspects of artillery and artillery spotting, the most important thing is that its structure, engagement and command make it (the artillery) be deployed efficiently even in high intensity operations. I have analysed the organization of the artillery observer corps of HDF, their types of engagement, and the development opportunities of a modern tactical command system, taking the above mentioned factors into consideration.</w:t>
      </w:r>
    </w:p>
    <w:p>
      <w:pPr>
        <w:pBdr/>
        <w:spacing w:before="240" w:after="240" w:line="240" w:lineRule="auto"/>
        <w:ind w:left="0" w:right="0"/>
        <w:jc w:val="left"/>
      </w:pPr>
      <w:r>
        <w:rPr>
          <w:color w:val="000000"/>
          <w:sz w:val="24"/>
          <w:szCs w:val="24"/>
        </w:rPr>
        <w:t xml:space="preserve">As a result, through comparison with the organization of fire support systems in the U.S. Army, by evaluation of the Hungarian field manuals, and through the investigation of the development experiences of a Hungarian tactical command system, I was led to the conclusion that in absence of the financial and technical conditions, all the HDF could possibly do to create solid basis for the future improvements is to collect experiences of international operations and provide training as up-to-date as possible.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29120">
    <w:multiLevelType w:val="hybridMultilevel"/>
    <w:lvl w:ilvl="0" w:tplc="540716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29120">
    <w:abstractNumId w:val="861291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22899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