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TAKÁCS</w:t>
            </w:r>
          </w:p>
          <w:p w:rsidR="00C275A3" w:rsidRDefault="00A96AEC" w:rsidP="00C275A3">
            <w:pPr>
              <w:pStyle w:val="Hallgatokepzes"/>
            </w:pPr>
            <w:r>
              <w:t>military leader</w:t>
            </w:r>
            <w:r>
              <w:br/>
            </w:r>
            <w:r w:rsidR="00E77B23">
              <w:t>BSc, 4.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lt.col. István Magyar</w:t>
            </w:r>
          </w:p>
          <w:p w:rsidR="00DB4822" w:rsidRDefault="00DB4822" w:rsidP="00E11062">
            <w:pPr>
              <w:pStyle w:val="Konzulensek"/>
            </w:pPr>
            <w:r w:rsidRPr="00DB4822">
              <w:t>professor's assistant,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ground operations in Iraq and Afghanistan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last eat military operations in Afghanistan and Iraq are clearly determine the first decade of the 21st century. With correct military phrase, the Operation Enduring Freedom and the Operation Iraqi Freedom. Numerous articles had been written from numerous points of view about the war in the two Asian countries. In both of these articles the writers paralelled the two operations, as if they were the same. This consequence regularly origins from the superficial examination of the offical, govermental bulletins. The purpuse of this study is to prove that this consequence is false. In this study I will concentrate on the soldiers’ job, not on the al-Queda or the Saddam regime, just if it is unavoidable. Furthermore because of the large scale topic I will set aside the „joint” pint of view, and I will focus mainly on the ground operations.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32799">
    <w:multiLevelType w:val="hybridMultilevel"/>
    <w:lvl w:ilvl="0" w:tplc="80039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32799">
    <w:abstractNumId w:val="76132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56288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