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HAJDÚ</w:t>
            </w:r>
          </w:p>
          <w:p w:rsidR="00C275A3" w:rsidRDefault="00A96AEC" w:rsidP="00C275A3">
            <w:pPr>
              <w:pStyle w:val="Hallgatokepzes"/>
            </w:pPr>
            <w:r>
              <w:t>English Language and Literature - History </w:t>
            </w:r>
            <w:r>
              <w:br/>
            </w:r>
            <w:r w:rsidR="00E77B23">
              <w:t>MSc,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Limpár</w:t>
            </w:r>
          </w:p>
          <w:p w:rsidR="00DB4822" w:rsidRDefault="00DB4822" w:rsidP="00E11062">
            <w:pPr>
              <w:pStyle w:val="Konzulensek"/>
            </w:pPr>
            <w:r w:rsidRPr="00DB4822">
              <w:t>PhD Student,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formation of irregular units and development of their weaponry and role on the Ottoman-Hungarian frontier in 16-17.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is dealing with the development of strategy and weaponry of the irregular troops fighting in the frontier of Ottoman occupancy in the Kingdom of Hungary from the battle of Mohacs (1526) until the end of Fifteen Years’ War (1606). The battle tactics of light cavalry and light infantry compared to the similar Ottoman forces are also analysed. Raids, frontier violations, pillage were as frequent at the imperial troops as on the Ottoman side. The international aspects are provided by the comparative analysis of these military groups with similar ones in the rest of Europe examining the traces of the military revolution theory created by Michael Roberts and Geoffrey Parker. The paper is based on wide international and Hungarian literature completed by archive materials and published primary sources. The lack of specific literature shows the deficient processing of the topic. The complete military, socio-cultural and economic historical analysis of irregular warfare exceeds the limits of this work, but it can be a catalyst for such further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57166">
    <w:multiLevelType w:val="hybridMultilevel"/>
    <w:lvl w:ilvl="0" w:tplc="69030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57166">
    <w:abstractNumId w:val="37157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407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