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KOVÁCS</w:t>
            </w:r>
          </w:p>
          <w:p w:rsidR="00C275A3" w:rsidRDefault="00A96AEC" w:rsidP="00C275A3">
            <w:pPr>
              <w:pStyle w:val="Hallgatokepzes"/>
            </w:pPr>
            <w:r>
              <w:t>Military and Safety engeenering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Varga Lieutenant Colonel Eng.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comparison of lightweight fighter engines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definition of the lightweight fighter was formulated by the LWF program which ran in the Unites States. Because of economic considerations a new category was created in 1965 which includes fighter aircrafts till 18,100 kg. Nowadays this subdivision still exists. The "heavyweights" include for example the F-15 Eagle or the Su-27 Flanker, while the lightweight fighters are represented by the F-16 Falcon, F-18 Hornet, the MiG-29 Fulcrum, and the JAS-39 Gripen.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chosen this fighter class because the Hungarian Air Force used only lightweight fighters and I want to enlighten the reader about the location of the used engines in the category. I introduce the MiG-29 representing the recent past which used the Klimov RD-33 engine, and the next generation Gripens of the future which will use the F414. I describe the history of the engine factories of which the evolution of the engine can be followed from the concept to the implementation through the production technology.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the essay I compare the members of the engine family and I draw conclusions which are easy to understand for a lay reader. As a theoretical physicist, Stephen Hawking said: "Each equation I included in the book would halve the number of the readers". I wrote my essay in this principle.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69711">
    <w:multiLevelType w:val="hybridMultilevel"/>
    <w:lvl w:ilvl="0" w:tplc="98857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69711">
    <w:abstractNumId w:val="77869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256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