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JULIA KALMAN</w:t>
            </w:r>
          </w:p>
          <w:p w:rsidR="00C275A3" w:rsidRDefault="00A96AEC" w:rsidP="00C275A3">
            <w:pPr>
              <w:pStyle w:val="Hallgatokepzes"/>
            </w:pPr>
            <w:r>
              <w:t>Tourism and catering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West Hungary</w:t>
            </w:r>
            <w:r w:rsidR="00C275A3">
              <w:br/>
            </w:r>
            <w:r w:rsidR="00DB4822">
              <w:t>Apáczai Csere János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Happ Éva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Mediterranean feeling in the tourism and catering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essay deals with Mediterranean feeling in tourism and catering. I chose 2 countries to show the Mediterranean behaviour in tourism and catering. These are Italy and Spain.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821660">
    <w:multiLevelType w:val="hybridMultilevel"/>
    <w:lvl w:ilvl="0" w:tplc="55044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821660">
    <w:abstractNumId w:val="348216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61475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