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PETŐ</w:t>
            </w:r>
          </w:p>
          <w:p w:rsidR="00C275A3" w:rsidRDefault="00A96AEC" w:rsidP="00C275A3">
            <w:pPr>
              <w:pStyle w:val="Hallgatokepzes"/>
            </w:pPr>
            <w:r>
              <w:t>Recreation Management and Health Promotion</w:t>
            </w:r>
            <w:r>
              <w:br/>
            </w:r>
            <w:r w:rsidR="00E77B23">
              <w:t>BSc,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Ihász</w:t>
            </w:r>
          </w:p>
          <w:p w:rsidR="00DB4822" w:rsidRDefault="00DB4822" w:rsidP="00E11062">
            <w:pPr>
              <w:pStyle w:val="Konzulensek"/>
            </w:pPr>
            <w:r w:rsidRPr="00DB4822">
              <w:t>Institute headmaster,associate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Pupil age children the examination of the results of shuttle run, longitudinal section in the look of an examination function.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subject of the research is our era’s endemic, the obesity. The informations in the educational centre of Nádorváros (Gárdonyi Géza primary school, Kölcsey Ferenc primary school, primary school of Nádorvaros) they are based on a completed measurement. We made two measurements in the schools, in our first measurement 612, in the secont we examined 578 children. It follows from this, that the number of valid results is 578. 126 days passed between the measurements. Between the measurements, the children in the physical education lessons did a individual planned circulation development practices. Took a part in the measurement children 7-15 ones between a year (1-8. class) there were boys and girls. 9 physical education teacher helped in our work. In the examination, with the InBody720 bioimpedancia analysator we checked the body combination, with the modified 20m shuttlerun (Ihász et. al. 2006) we checked the circulatory stamina. In my research, analysis of the circulatory stamina is the capital aim. A number question arose in the course of our examinations, these next ones:</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The systematic, individual planned physical activity, what kind of effect on his circulatory performance?</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Enough the 126 days of physical activity to the increase of the circulatory performance?</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Do some monthly interventions, which in the physical education lessons, mean a significant improvement in a physiological sense?</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How can be solved methodology the problem, that the individual planned physical activity how organizational frameworks can be done the physical education lessons?</w:t>
      </w:r>
    </w:p>
    <w:p>
      <w:pPr>
        <w:widowControl w:val="on"/>
        <w:pBdr/>
        <w:spacing w:before="240" w:after="240" w:line="240" w:lineRule="auto"/>
        <w:ind w:left="0" w:right="0"/>
        <w:jc w:val="left"/>
      </w:pPr>
      <w:r>
        <w:rPr>
          <w:color w:val="000000"/>
          <w:sz w:val="24"/>
          <w:szCs w:val="24"/>
        </w:rPr>
        <w:t xml:space="preserve">And we formulated hypotheses, that tried to justify or to refute. These next ones:</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We presupposed, that the children examined by us age group accomplished section averages show a trend growing linearly.</w:t>
      </w:r>
    </w:p>
    <w:p>
      <w:pPr>
        <w:pStyle w:val="ListParagraphPHPDOCX"/>
        <w:numPr>
          <w:ilvl w:val="0"/>
          <w:numId w:val="34092952"/>
        </w:numPr>
        <w:spacing w:before="0" w:after="0" w:line="240" w:lineRule="auto"/>
        <w:contextualSpacing/>
        <w:jc w:val="left"/>
        <w:rPr>
          <w:sz w:val="24"/>
          <w:szCs w:val="24"/>
        </w:rPr>
      </w:pPr>
      <w:r>
        <w:rPr>
          <w:color w:val="000000"/>
          <w:sz w:val="24"/>
          <w:szCs w:val="24"/>
        </w:rPr>
        <w:t xml:space="preserve">We presupposed, that he chose based on the fat groups children the results of shuttle run are getting worse significantly started by the overweight category.</w:t>
      </w:r>
    </w:p>
    <w:p>
      <w:pPr>
        <w:widowControl w:val="on"/>
        <w:pBdr/>
        <w:spacing w:before="240" w:after="240" w:line="240" w:lineRule="auto"/>
        <w:ind w:left="0" w:right="0"/>
        <w:jc w:val="left"/>
      </w:pPr>
      <w:r>
        <w:rPr>
          <w:color w:val="000000"/>
          <w:sz w:val="24"/>
          <w:szCs w:val="24"/>
        </w:rPr>
        <w:t xml:space="preserve">On the diagrams of the research the section averages visible the age groups and the fat groups' look, furthermore the pulse averages in the age groups' look. I examined the boys and girls separately on all diagrams.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92952">
    <w:multiLevelType w:val="hybridMultilevel"/>
    <w:lvl w:ilvl="0" w:tplc="25371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92952">
    <w:abstractNumId w:val="34092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171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