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NORBERT PROKSA</w:t>
            </w:r>
          </w:p>
          <w:p w:rsidR="00C275A3" w:rsidRDefault="00A96AEC" w:rsidP="00C275A3">
            <w:pPr>
              <w:pStyle w:val="Hallgatokepzes"/>
            </w:pPr>
            <w:r>
              <w:t> Recreation and Health Improvement Manager</w:t>
            </w:r>
            <w:r>
              <w:br/>
            </w:r>
            <w:r w:rsidR="00E77B23">
              <w:t>BSc, 3. semester</w:t>
            </w:r>
          </w:p>
          <w:p w:rsidR="00C265CE" w:rsidRPr="009E5FF1" w:rsidRDefault="00E77B23" w:rsidP="00C275A3">
            <w:pPr>
              <w:pStyle w:val="Hallgatokepzes"/>
              <w:rPr>
                <w:b/>
                <w:caps/>
              </w:rPr>
            </w:pPr>
            <w:r>
              <w:t>University of West Hungary</w:t>
            </w:r>
            <w:r w:rsidR="00C275A3">
              <w:br/>
            </w:r>
            <w:r w:rsidR="00DB4822">
              <w:t>Apáczai Csere János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Ferenc Ihász</w:t>
            </w:r>
          </w:p>
          <w:p w:rsidR="00DB4822" w:rsidRDefault="00DB4822" w:rsidP="00E11062">
            <w:pPr>
              <w:pStyle w:val="Konzulensek"/>
            </w:pPr>
            <w:r w:rsidRPr="00DB4822">
              <w:t>Institute headmaster,associate professor ,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Pupil age children the examination of the results of body combination longitudinal section in the look of an examination function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my survey was to present the fact that the majority of today’s school children are obese or overweight. Obesity and overweight entails several medical problems after childhood especially illnesses such as hypertension and diabetes that tortured only adults - up to now.The survey has been carried out in four elementary schools in the town of Gyor. Pupils have been measured twice with a so-called ’Inbody 720’ bioimpedance analyser. The second measure followed the first one after 126 days. The subjects were boys and girls belonging to classes 1-8. The two measures covered 578 comparisons altogether. Between the measures in the first 15 minutes of every PE pupils did physical activities aligned with their individuality.Several questions had arisen for us before the survey; for example whether the 126 days physical activity is sufficient to improve the results. Moreover, an important doubt came up besides evidences that is the dispersion in time of these specifics, or simpler, how their appearance and difference has been changed by nowadays in relation of the two genders.</w:t>
      </w:r>
    </w:p>
    <w:p>
      <w:pPr>
        <w:widowControl w:val="on"/>
        <w:pBdr/>
        <w:spacing w:before="240" w:after="240" w:line="240" w:lineRule="auto"/>
        <w:ind w:left="0" w:right="0"/>
        <w:jc w:val="left"/>
      </w:pPr>
      <w:r>
        <w:rPr>
          <w:color w:val="000000"/>
          <w:sz w:val="24"/>
          <w:szCs w:val="24"/>
        </w:rPr>
        <w:t xml:space="preserve">Hypotheses were as follows:We had supposed that the differences among average body height and weight by the examined children’s age-groups designate the growth push featuring each gender.</w:t>
      </w:r>
    </w:p>
    <w:p>
      <w:pPr>
        <w:widowControl w:val="on"/>
        <w:pBdr/>
        <w:spacing w:before="240" w:after="240" w:line="240" w:lineRule="auto"/>
        <w:ind w:left="0" w:right="0"/>
        <w:jc w:val="left"/>
      </w:pPr>
      <w:r>
        <w:rPr>
          <w:color w:val="000000"/>
          <w:sz w:val="24"/>
          <w:szCs w:val="24"/>
        </w:rPr>
        <w:t xml:space="preserve">Additionally, there can be seen growth pushes at the differences in fat averages by age-groups. Respectively, relating to fat-groups, even overweight children shows significant abdominal fat average.During the survey we measured the children’s indexes of body height and weight, the relative muscle mass, fat mass then we have illustrated the results by diagrams.As a result, we have found significant differences between the two measures in relation to every feature, gender and age-group averages.</w:t>
      </w:r>
    </w:p>
    <w:p>
      <w:pPr>
        <w:widowControl w:val="on"/>
        <w:pBdr/>
        <w:spacing w:before="240" w:after="240" w:line="240" w:lineRule="auto"/>
        <w:ind w:left="0" w:right="0"/>
        <w:jc w:val="left"/>
      </w:pPr>
      <w:r>
        <w:rPr>
          <w:color w:val="000000"/>
          <w:sz w:val="24"/>
          <w:szCs w:val="24"/>
        </w:rPr>
        <w:t xml:space="preserve">To sum up, we can establish that the 126 days of physical activity proved to be sufficient. Additionally, the averages of body weight and height designate the push typically for gender. Boys’ body weight growth has been followed by height growth in 1.5-2 years while the two processes go at the same time at girls’. The eleven years olds’ age-group shows a significant increase of body fat because fat must gain in order to initiate the development of hormoneswhile androgens initiate muscle mass. Overweight children’s abdominal fat averages just slightly differ from normal; the abdominal fat increase starts only at the group of obese, which can reach the adult-age critical level  at obese boys’.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553332">
    <w:multiLevelType w:val="hybridMultilevel"/>
    <w:lvl w:ilvl="0" w:tplc="801125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553332">
    <w:abstractNumId w:val="655533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21866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