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MARTON SPOHN</w:t>
            </w:r>
          </w:p>
          <w:p w:rsidR="00C275A3" w:rsidRDefault="00A96AEC" w:rsidP="00C275A3">
            <w:pPr>
              <w:pStyle w:val="Hallgatokepzes"/>
            </w:pPr>
            <w:r>
              <w:t>Transportation Engineer</w:t>
            </w:r>
            <w:r>
              <w:br/>
            </w:r>
            <w:r w:rsidR="00E77B23">
              <w:t>BSc, 3.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Borza Viktor</w:t>
            </w:r>
          </w:p>
          <w:p w:rsidR="00DB4822" w:rsidRDefault="00DB4822" w:rsidP="00E11062">
            <w:pPr>
              <w:pStyle w:val="Konzulensek"/>
            </w:pPr>
            <w:r w:rsidRPr="00DB4822">
              <w:t>timetable planner,  VPE Rail Capacity Allocation Office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Abolishing parallel rail and bus services by regular interval timetables on the example of the railway mainline 80 (Budapest-Miskolc-Sátoraljaújhely) and the area covered by its branch railways.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National public transport in Hungary is nowadays considered as an under-financed over-expense. This is because the transportation government arranges parallel bus and rail services while being unable to care for sufficient funding and describes this as a useful market competition between the two modalities. Up to now, handling the problem of parallel services concentrated solely on closing down branch railways. However, the first step should not be narrowing transport capacities, but improving competitiveness, as – in a paradox way – on the longer run this ensures descending demand for subvention. Experiences – both national and international – with regular interval integrated timetable structures have proven that the biggest advantage of abolishing parallel services is not the reduction of service costs, but the increasing passenger numbers – and ticketing revenue – arising from former car drivers switching to public transport.</w:t>
      </w:r>
    </w:p>
    <w:p>
      <w:pPr>
        <w:pBdr/>
        <w:spacing w:before="240" w:after="240" w:line="240" w:lineRule="auto"/>
        <w:ind w:left="0" w:right="0"/>
        <w:jc w:val="left"/>
      </w:pPr>
      <w:r>
        <w:rPr>
          <w:color w:val="000000"/>
          <w:sz w:val="24"/>
          <w:szCs w:val="24"/>
        </w:rPr>
        <w:t xml:space="preserve">I designed a detailed timetable for the railway mainline Budapest-Miskolc-Sátoraljaújhely and its connecting railways applicable after the planned reconstruction due to start in 2014 , and based on this, I sketched the whole integrated transport network for the countries Nógrád and Heves. Each settlement – in contrast with the three-services-a-day minimum prescribed in the Transportation Services Act – is being served with a regular hourly service in the whole operating hours, every day.</w:t>
      </w:r>
    </w:p>
    <w:p>
      <w:pPr>
        <w:pBdr/>
        <w:spacing w:before="240" w:after="240" w:line="240" w:lineRule="auto"/>
        <w:ind w:left="0" w:right="0"/>
        <w:jc w:val="left"/>
      </w:pPr>
      <w:r>
        <w:rPr>
          <w:color w:val="000000"/>
          <w:sz w:val="24"/>
          <w:szCs w:val="24"/>
        </w:rPr>
        <w:t xml:space="preserve">By universal application of integrated timetables, parallel services can be rapidly abolished. This was proven, that, as a side effect of the improved service, by transferring busy lines to the railway the amount of bus service kilometres could be reduced by almost a third, decreasing operating costs of buses by 8.3 billion forints yearly. This was accompanied at rail service costs – due to the high ratio of fixed costs in railways – only by a surplus of one billion forints per year, while the remaining amount being savings.</w:t>
      </w:r>
    </w:p>
    <w:p>
      <w:pPr>
        <w:pBdr/>
        <w:spacing w:before="240" w:after="240" w:line="240" w:lineRule="auto"/>
        <w:ind w:left="0" w:right="0"/>
        <w:jc w:val="left"/>
      </w:pPr>
      <w:r>
        <w:rPr>
          <w:color w:val="000000"/>
          <w:sz w:val="24"/>
          <w:szCs w:val="24"/>
        </w:rPr>
        <w:t xml:space="preserve">The planned reconstruction of the railway mainline 80 is not adequate for the introduction of an integrated timetable, there is a need for timetable-based infrastructure development on the branch railways, too. These additional measures can be cross-financed from the service cost savings, whereas I proved that branch line improvements are beneficial for the state even on the operating cost level: in countries Nógrád and Heves such a project has net present value of 37.7 billion forints and an internal rate of return of 44%.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268407">
    <w:multiLevelType w:val="hybridMultilevel"/>
    <w:lvl w:ilvl="0" w:tplc="48841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268407">
    <w:abstractNumId w:val="422684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23731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