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HEGYESI</w:t>
            </w:r>
          </w:p>
          <w:p w:rsidR="00C275A3" w:rsidRDefault="00A96AEC" w:rsidP="00C275A3">
            <w:pPr>
              <w:pStyle w:val="Hallgatokepzes"/>
            </w:pPr>
            <w:r>
              <w:t>MSc in Chemical Engineering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Szilágyi</w:t>
            </w:r>
          </w:p>
          <w:p w:rsidR="00DB4822" w:rsidRDefault="00DB4822" w:rsidP="00E11062">
            <w:pPr>
              <w:pStyle w:val="Konzulensek"/>
            </w:pPr>
            <w:r w:rsidRPr="00DB4822">
              <w:t>assistant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Quantification of real cross links in poly(aspartic acid) gels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recent years there has been increased focus on polymer based hydrogels which can respond to the alteration of environmental parameters (temperature or pH) by a change in their physical and chemical properties. The properties of the polymer gels are determined by the chemical composition and molecular weight of the polymer backbone, as well as its physical and chemical interactions between the chains. As chemical net points are immobile, they limit the volume change of the hydrogel therefore the knowledge of their density is essential.</w:t>
      </w:r>
      <w:r>
        <w:rPr>
          <w:color w:val="000000"/>
          <w:sz w:val="24"/>
          <w:szCs w:val="24"/>
        </w:rPr>
        <w:br/>
        <w:t xml:space="preserve">In my present work I developed a new analytical method to quantify the chemical net points of poly(aspartic acid) hydrogels cross-linked with diamines [1]. The main goal of my work was to determine the number of cross-linking agents which does not react or just one of its functional groups reacts during the gelation process. 2,4,6-trinitrobenzenesulfonic acid (TNBS) reagent was used. TNBS reacts with primary amine groups selectively under mild alkaline conditions. This SN2Ar type reaction gives a yellow product which is measurable by UV-VIS spectroscopy. Beside the main reaction, TNBS hydrolyses to picric acid which has absorption maximum at the same wavelength as trinitrophenilated amine. The hydrolysis of TNBS is slow and does not interfere with the determination of amines in case of small molecules [2].</w:t>
      </w:r>
      <w:r>
        <w:rPr>
          <w:color w:val="000000"/>
          <w:sz w:val="24"/>
          <w:szCs w:val="24"/>
        </w:rPr>
        <w:br/>
        <w:t xml:space="preserve">The number of unreacted cross-linking agents was measured directly in trinitrophenilated form, after they had been washed out of the gel. The non-reacted, pendant amine groups inside the gel were measured by indirect method. The conventional method was improved by optimizing the composition of reaction medium. Formation of by-product could be excluded thus the new method is applicable to determine amines of low reactivity, even in heterogeneous reaction e.g. on solid surfaces.</w:t>
      </w:r>
    </w:p>
    <w:p>
      <w:pPr>
        <w:pBdr/>
        <w:spacing w:before="240" w:after="240" w:line="240" w:lineRule="auto"/>
        <w:ind w:left="0" w:right="0"/>
        <w:jc w:val="left"/>
      </w:pPr>
      <w:r>
        <w:rPr>
          <w:color w:val="000000"/>
          <w:sz w:val="24"/>
          <w:szCs w:val="24"/>
        </w:rPr>
        <w:br/>
        <w:t xml:space="preserve">Acknowledgement: This research was supported by the OTKA Foundation (PD76401) and by the NKTH - ASTAR Hungarian - Singaporean Bilateral S&amp;T International Co-operation (BIOSPONA). This research was also supported by the János Bolyai Research Scholarship.</w:t>
      </w:r>
    </w:p>
    <w:p>
      <w:pPr>
        <w:pBdr/>
        <w:spacing w:before="240" w:after="240" w:line="240" w:lineRule="auto"/>
        <w:ind w:left="0" w:right="0"/>
        <w:jc w:val="left"/>
      </w:pPr>
      <w:r>
        <w:rPr>
          <w:color w:val="000000"/>
          <w:sz w:val="24"/>
          <w:szCs w:val="24"/>
        </w:rPr>
        <w:br/>
        <w:t xml:space="preserve">References:</w:t>
      </w:r>
      <w:r>
        <w:rPr>
          <w:color w:val="000000"/>
          <w:sz w:val="24"/>
          <w:szCs w:val="24"/>
        </w:rPr>
        <w:br/>
        <w:t xml:space="preserve">[1] Gyenes T, Torma V, Gyarmati B, Zrinyi M. Synthesis and swelling properties of novel pH-sensitive poly(aspartic acid) gels. Acta Biomaterialia 2008;4:733-44.</w:t>
      </w:r>
      <w:r>
        <w:rPr>
          <w:color w:val="000000"/>
          <w:sz w:val="24"/>
          <w:szCs w:val="24"/>
        </w:rPr>
        <w:br/>
        <w:t xml:space="preserve">[2] Kiranas ER, Tzouwara Karayanni SM, Karayannis MI. The reaction of glutamic acid and trinitrobenzenesulfonic acid-kinetic study and analytical application. Talanta 1997;44:1113-21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62003">
    <w:multiLevelType w:val="hybridMultilevel"/>
    <w:lvl w:ilvl="0" w:tplc="678364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62003">
    <w:abstractNumId w:val="919620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73095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