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SOLTI KATALIN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András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Poliaszparaginsav-l-poli(N-izopropilakrilamid) kotérhálós hidrogél szintézise és tulajdonságainak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polimerek és a polimer gélek szerepe felértékelődött a gyógyszer-technológiában, mivel a belőlük készült hordozó mátrixokkal biztosítani lehet a hatóanyag-molekulák jól definiált kinetikával lejátszódó kioldódását. Az emberi testben a két legmeghatározóbb fizikai-kémiai paraméter a hőmérséklet és a pH, ezért kerültek a fejlesztések homlokterébe az olyan multireszponzív polimer gélek, melyek tulajdonságaik ugrásszerű és jelentős megváltoztatásával válaszolnak az említett környezeti paraméterek változására.</w:t>
      </w:r>
      <w:r>
        <w:rPr>
          <w:color w:val="000000"/>
          <w:sz w:val="24"/>
          <w:szCs w:val="24"/>
        </w:rPr>
        <w:br/>
        <w:t xml:space="preserve">     A kutatómunka célja egy, az emberi szervezettel teljes mértékben biokompatibilis, a környezetet és a szervezetet nem terhelő, toxikus bomlástermékeket nem generáló, a környezeti paraméterek változtatására érzékeny kotérháló előállítása volt, mely alkalmazható hatóanyag-leadó mátrixként. Olyan rendszereket állítottam elő, melyekben a testhőmérséklet közeli fázisátalakulással rendelkező hőmérsékletérzékeny polimer, a poli(N izopropilakrilamid) [PNIPAAm], illetve a pH-érzékeny poliaszparaginsav [PASP] tulajdonságai ötvöződnek.</w:t>
      </w:r>
      <w:r>
        <w:rPr>
          <w:color w:val="000000"/>
          <w:sz w:val="24"/>
          <w:szCs w:val="24"/>
        </w:rPr>
        <w:br/>
        <w:t xml:space="preserve">     A kotérháló szintézise vizes közegben zajlott, ehhez elsőként a poliszukcinimid [PSI] alap polimer vízoldhatóságát oldottam meg, a főlánc etanol-aminnal történő kémiai módosításával. Allil-amin oldalcsoportok beépítésével biztosítottam, hogy a PSI részt vegyen az N izopropilakrilamid gyökös mechanizmusú polimerizációjában, kialakítva ezzel egy multireszponzív hidrogél kotérhálót. A PASP-l-PNIPAAm kotérhálót végül lúgos hidrolízis után kaptam meg.</w:t>
      </w:r>
      <w:r>
        <w:rPr>
          <w:color w:val="000000"/>
          <w:sz w:val="24"/>
          <w:szCs w:val="24"/>
        </w:rPr>
        <w:br/>
        <w:t xml:space="preserve">     A hidrogélek szerkezetét NMR- és FTIR mérésekkel vizsgáltam. SEM felvételekkel igazoltam, hogy a hidrogélek morfológiája megváltozik a környezeti pH és a hőmérséklet módosításának hatására. Egyensúlyi duzzadásfok méréseket végeztem a pH-, illetve a hőmérsékletváltozás hatásának bemutatására.</w:t>
      </w:r>
      <w:r>
        <w:rPr>
          <w:color w:val="000000"/>
          <w:sz w:val="24"/>
          <w:szCs w:val="24"/>
        </w:rPr>
        <w:br/>
        <w:t xml:space="preserve">     A gélből történő kioldódást diklofenák-nátrium, nem szteroid típusú gyulladáscsökkentő felhasználásával tanulmányoztam. A hidrogél kotérháló alkalmazásakor a hatóanyag-leadás elnyújtható, így a mellékhatások veszélye csökkenthető.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Köszönetnyilvánítás: A kutatást támogatta az Országos Tudományos Kutatási Alapprogramok (OTKA PD76401) és az NKTH – A*STAR (Szingapúr) - Kétoldalú TéT Pályázat (BIOSPONA). A munka a Bolyai János Kutatási Ösztöndíj támogatásával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Referenciák:</w:t>
      </w:r>
      <w:r>
        <w:rPr>
          <w:color w:val="000000"/>
          <w:sz w:val="24"/>
          <w:szCs w:val="24"/>
        </w:rPr>
        <w:br/>
        <w:t xml:space="preserve">[1]. Ward M. A.; Georgiou T. K.: Polymers 3 1215-1242 (2011)</w:t>
      </w:r>
      <w:r>
        <w:rPr>
          <w:color w:val="000000"/>
          <w:sz w:val="24"/>
          <w:szCs w:val="24"/>
        </w:rPr>
        <w:br/>
        <w:t xml:space="preserve">[2]. Erdodi G.; Kennedy J. P.: Progress in Polymer Science 31 1-18 (2006)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50399">
    <w:multiLevelType w:val="hybridMultilevel"/>
    <w:lvl w:ilvl="0" w:tplc="66806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50399">
    <w:abstractNumId w:val="76950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248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