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KÁDÁR VERONIKA</w:t>
            </w:r>
          </w:p>
          <w:p w:rsidR="00C275A3" w:rsidRDefault="00A96AEC" w:rsidP="00C275A3">
            <w:pPr>
              <w:pStyle w:val="Hallgatokepzes"/>
            </w:pPr>
            <w:r>
              <w:t>Biomérnök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Németh Veronika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 MTA TTK Enzimológiai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Represszió - derepresszió elven működő molekuláris kapcsoló karakterizálása Staphylococcus aureus-ban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Staphylococcus aureus patogenicitási szigetei (SaPI) a baktérium fertőzőképességéért felelős géneket (toxin) kódolnak, szerepük a virulens gének terjesztése a baktérium populációk közt. A SaPI kifejeződését egy Stl nevezetű fehérje gátolja. A Φ11 fág fertőzés következtében a fág dUTPáz fehérjéje kölcsönhatásba lép az Stl fehérjével, ezáltal derepresszálja a SaPI DNS kifejeződését, amely elindítja a kivágás-replikáció-csomagolás ciklusát.</w:t>
      </w:r>
      <w:r>
        <w:rPr>
          <w:color w:val="000000"/>
          <w:sz w:val="24"/>
          <w:szCs w:val="24"/>
        </w:rPr>
        <w:br/>
        <w:t xml:space="preserve">Munkám során a Φ11 fág dUTPáz és az Stl fehérje tulajdonságait és a közöttük létrejött kölcsönhatás kialakulását különféle módszerek (spektrofotometria, fluorimetria, EMSA) felhasználásával jellemeztem. Mutáns enzimek alkalmazásával vizsgáltam a Φ11 fág dUTPáz két jellemző szerkezeti elemének - a C-terminális karnak és a fajspecifikus inzert motívumnak - szerepét a szubsztráttal illetve az Stl-el való kötésben.</w:t>
      </w:r>
      <w:r>
        <w:rPr>
          <w:color w:val="000000"/>
          <w:sz w:val="24"/>
          <w:szCs w:val="24"/>
        </w:rPr>
        <w:br/>
        <w:t xml:space="preserve">A katalitikus aktivitás mértéke a vad típusú és inzert mentes Φ11 dUTPáz esetében hasonló, továbbá jól egyezik a humán vagy mikobaktérium (Mycobacterium tuberculosis) dUTPázok aktivitási adataival. Az inzert jelenléte illetve hiánya sem a Φ11 dUTPáz által katalizált reakciót, sem az Stl inhibiciót nem befolyásolja, a szubsztrát kötésben a C-terminális kar vesz részt.</w:t>
      </w:r>
      <w:r>
        <w:rPr>
          <w:color w:val="000000"/>
          <w:sz w:val="24"/>
          <w:szCs w:val="24"/>
        </w:rPr>
        <w:br/>
        <w:t xml:space="preserve">A dUTPáz és az Stl kölcsönhatását az Stl feltételezett DNS kötőhelyének jelenlétében figyeltem meg, amely szerint a dUTPáz Stl komplex kialakulásának hatására az Stl leválik a DNS-ről, az inzert mentes dUTPáz esetében viszont az Stl DNS kötés megmarad. Ezen eredmények alapján az inzert szerepét befolyásolja a DNS jelenléte a dUTPáz Stl kölcsönhatás létrejötte során. A dUTPáz Stl DNS komplex jellemzéshez további vizsgálatok szükségesek.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484721">
    <w:multiLevelType w:val="hybridMultilevel"/>
    <w:lvl w:ilvl="0" w:tplc="416826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484721">
    <w:abstractNumId w:val="554847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98639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