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KLÁRA KIRSCH</w:t>
            </w:r>
          </w:p>
          <w:p w:rsidR="00C275A3" w:rsidRDefault="00A96AEC" w:rsidP="00C275A3">
            <w:pPr>
              <w:pStyle w:val="Hallgatokepzes"/>
            </w:pPr>
            <w:r>
              <w:t>bioengineering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Peták, MD, PhD</w:t>
            </w:r>
          </w:p>
          <w:p w:rsidR="00DB4822" w:rsidRDefault="00DB4822" w:rsidP="00E11062">
            <w:pPr>
              <w:pStyle w:val="Konzulensek"/>
            </w:pPr>
            <w:r w:rsidRPr="00DB4822">
              <w:t>scientific director,  KPS Medical Biotechnology and Healthcare Services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decision support system for molecular targeted personalized therapy of cancer patients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recent years it has become evident, that cancer is a genetic disease caused by somatic and germline mutations of approximately 460 genes. This offers new possibilities for oncology diagnostics and for the development of anti-cancer drugs. The goal is to find the molecular target which is mutated in the individual tumor, and correspondingly inhibit the unregulated signal transduction processes in the cell with targeted drugs. Drug sensitivity or resistance largely depends on the mutation site within the gene, which can be accurately identified with next generation sequencing techniques. Due to the early success of targeted therapy, the molecular datasets and number of clinical trials with new molecules have rapidly increased in the last decade, and now there are more than 400 drugs in clinical development. The number of mutations of cancer genes in the Catalogue of Somatic Mutations in Cancer (COSMIC) reached 540.000 today.</w:t>
      </w:r>
      <w:r>
        <w:rPr>
          <w:color w:val="000000"/>
          <w:sz w:val="24"/>
          <w:szCs w:val="24"/>
        </w:rPr>
        <w:br/>
        <w:t xml:space="preserve">Our aim is to develop a decision support system for the oncologists, which predict the efficiency of targeted drugs based on the mutations found in the patient’s tumor. The decision support system’s core is the TARGETED DRUG SENSITIVITY DATABASE, which examines the effect of somatic mutations on drug sensitivity according to scientific literature. The database contains drug sensitivity data from mutant cell lines or enzymes compared to their wild type form. The constructed database is innovative, since there are no similar databases. Based on the TARGETED DRUG SENSITIVITY DATABASE and clinical evidences the TARGET-DRUG ASSOCIATION ANALYZER decision-making system analyzes the biological relevance of the biomarker pattern found by the molecular diagnosis and identifies the positive or negative association with the drug efficacy. The decision support system contains over 17 proto-oncogenes as well as 1 tumor suppressor gene and 20 registered targeted drugs.</w:t>
      </w:r>
      <w:r>
        <w:rPr>
          <w:color w:val="000000"/>
          <w:sz w:val="24"/>
          <w:szCs w:val="24"/>
        </w:rPr>
        <w:br/>
        <w:t xml:space="preserve">Future plans include the expansion of the database to a larger number of oncogenes and tumor suppressors, and drug sensitivity prediction with bioinformatics tools (protein structure modeling and drug docking) where no experimental or clinical data are available.</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56216">
    <w:multiLevelType w:val="hybridMultilevel"/>
    <w:lvl w:ilvl="0" w:tplc="39259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56216">
    <w:abstractNumId w:val="984562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75550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