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ZSÓKA</w:t>
            </w:r>
          </w:p>
          <w:p w:rsidR="00C275A3" w:rsidRDefault="00A96AEC" w:rsidP="00C275A3">
            <w:pPr>
              <w:pStyle w:val="Hallgatokepzes"/>
            </w:pPr>
            <w:r>
              <w:t>Pharmaceutical Engineering</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Marosi</w:t>
            </w:r>
          </w:p>
          <w:p w:rsidR="00DB4822" w:rsidRDefault="00DB4822" w:rsidP="00E11062">
            <w:pPr>
              <w:pStyle w:val="Konzulensek"/>
            </w:pPr>
            <w:r w:rsidRPr="00DB4822">
              <w:t>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Formulation and biopharmaceutical study of a pharmaceutical product containing an antiviral drug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Developing new dosage forms of drugs in order to enhance their bioavailability and pharmacokinetic properties have become one of the most important tasks of drug formulation. Due to the increasing therapeutic demands for new dosage forms, the other important aim of development is to widen the available ways in which a drug can be administered.</w:t>
      </w:r>
    </w:p>
    <w:p>
      <w:pPr>
        <w:pBdr/>
        <w:spacing w:before="240" w:after="240" w:line="240" w:lineRule="auto"/>
        <w:ind w:left="0" w:right="0"/>
        <w:jc w:val="left"/>
      </w:pPr>
      <w:r>
        <w:rPr>
          <w:color w:val="000000"/>
          <w:sz w:val="24"/>
          <w:szCs w:val="24"/>
        </w:rPr>
        <w:br/>
        <w:t xml:space="preserve">The objective of my research was to formulate a new rectal suppository of an antiviral drug - a dosage form not yet available in pharmaceutical care of the given drug - that offers proper biological effectiveness, can be used safely and produced economically viable. This new dosage form offers an alternative therapeutic solution along oral application and makes administration possible in situations when the original oral route should be avoided due to specific reasons (such as vomiting, diseases of liver or bad patient compliance).</w:t>
      </w:r>
    </w:p>
    <w:p>
      <w:pPr>
        <w:pBdr/>
        <w:spacing w:before="240" w:after="240" w:line="240" w:lineRule="auto"/>
        <w:ind w:left="0" w:right="0"/>
        <w:jc w:val="left"/>
      </w:pPr>
      <w:r>
        <w:rPr>
          <w:color w:val="000000"/>
          <w:sz w:val="24"/>
          <w:szCs w:val="24"/>
        </w:rPr>
        <w:t xml:space="preserve">Taking the characteristics of rectal drug administration, the physiological state of the rectum and properties of the drug into consideration, many suppositories were formulated using different suppository bases and compositions. In vitro dissolution studies were carried out to determine the optimal base composition. In order to further improve dissolution of the drug, anionic and nonionic surfactants were tested with special respect to examining how the concentration of these additives influenced in vitro drug liberation. In vitro liberation was examined as function of the pH of the acceptor phase. The optimal particle size of the drug was determined considering the biopharmaceutical and technological needs as well as aspects of drug stability.</w:t>
      </w:r>
    </w:p>
    <w:p>
      <w:pPr>
        <w:pBdr/>
        <w:spacing w:before="240" w:after="240" w:line="240" w:lineRule="auto"/>
        <w:ind w:left="0" w:right="0"/>
        <w:jc w:val="left"/>
      </w:pPr>
      <w:r>
        <w:rPr>
          <w:color w:val="000000"/>
          <w:sz w:val="24"/>
          <w:szCs w:val="24"/>
        </w:rPr>
        <w:br/>
        <w:t xml:space="preserve">In view of the statements above I proposed a composition suitable for formulating suppositories containing the particular antiviral drug that ensured quickest dissolution under the experimental conditions.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187748">
    <w:multiLevelType w:val="hybridMultilevel"/>
    <w:lvl w:ilvl="0" w:tplc="136482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187748">
    <w:abstractNumId w:val="111877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78808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