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LÁSZLÓ</w:t>
            </w:r>
          </w:p>
          <w:p w:rsidR="00C275A3" w:rsidRDefault="00A96AEC" w:rsidP="00C275A3">
            <w:pPr>
              <w:pStyle w:val="Hallgatokepzes"/>
            </w:pPr>
            <w:r>
              <w:t>vegyészmérnök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Kózelné dr. Székely Edit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Diasztereomersók kristályosítása szuperkritikus antiszolvens technológiával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vegyipar egyre több területén szükségesek az optikailag aktív vegyületek. Ezért nagy jelentősége van azoknak a technológiáknak, amelyekkel gazdaságosan, nagy mennyiségben, környezetbarát módon lehet előállítani nagy enantiomer tisztaságú termékeket.</w:t>
      </w:r>
      <w:r>
        <w:rPr>
          <w:color w:val="000000"/>
          <w:sz w:val="24"/>
          <w:szCs w:val="24"/>
        </w:rPr>
        <w:br/>
        <w:t xml:space="preserve">TDK munkám során különböző racém vegyületek reszolválását vizsgáltam szuperkritikus antiszolvens technológiával (SAS). A módszer elvi alkalmazhatóságát eddig az irodalomban is összesen két cikkben mutatták be 1-1 mintapéldán, részletes vizsgálatok közlése nélkül. A kísérelti módszerem lényege: a racém elegy oldatához félekvivalens mennyiségben adtam a reszolváló szert, amely az egyik enantiomerrel diasztereomer sót képezhet. Az oldatot nyomás álló készülékbe mértem, feltölttem szén-dioxiddal, amely az antiszolvens. A szén-dioxid az oldatba diffundált, ezáltal az oldószer oldóképessége lecsökkent, az elreagált enantiomer diasztereomer só formájában kivált. A teljes kiválás érdekében egy órán át kevertettem, majd állandó nyomáson és hőmérsékleten szén-dioxidot áramoltattam át. Ezzel kimostam az elreagálatlan enantiomert és az oldószert. Nyomásmentesítés után a diasztereomer sót szilárd formában nyertem ki. Az enantiomer tisztaságot királis gázkromatográfiával határoztam meg.</w:t>
      </w:r>
      <w:r>
        <w:rPr>
          <w:color w:val="000000"/>
          <w:sz w:val="24"/>
          <w:szCs w:val="24"/>
        </w:rPr>
        <w:br/>
        <w:t xml:space="preserve">A vizsgált reszolválási rendszerek közül a cisz-permetrinsav–2-(benzilamino)bután-1-ol (CPS–BAB), a transz-1,2-ciklohexándiol–l-borkősav(CHD-BS) és a cisz-krizantémsav–2-(benzilamino)bután-1-ol (CKS-BAB) rendszerek esetén metanolt alkalmazva nem tapasztaltam királis megkülönböztetést, a 150 bar nyomáson és 45 °C hőmérsékleten kikristályosodott diasztereomer sók gyakorlatilag racémak voltak. A cisz-permetrinsav–(R)-1-(feniletil)amin (CPS–FEA) és ibuprofén–(R)-1-(feniletil)amin rendszerek esetében kevés diasztereomer képződött, azonban enantiomerfelesleg értékeik elérték a 80–90%-ot.</w:t>
      </w:r>
      <w:r>
        <w:rPr>
          <w:color w:val="000000"/>
          <w:sz w:val="24"/>
          <w:szCs w:val="24"/>
        </w:rPr>
        <w:br/>
        <w:t xml:space="preserve">A CPS-FEA rendszer esetén részletesen vizsgáltam a nyomás hatását 200 bar és 100 bar között 45 °C-on. Az eredmények alapján a nyomásnak igen jelentős hatása van az enantiomertisztaságra és a termelésre is. Az enantiomer tisztaság 96%-tól egészen 0%-ig változik, 130 bar és 120 bar között igen éles változás figyelhető meg.</w:t>
      </w:r>
      <w:r>
        <w:rPr>
          <w:color w:val="000000"/>
          <w:sz w:val="24"/>
          <w:szCs w:val="24"/>
        </w:rPr>
        <w:br/>
        <w:t xml:space="preserve">A IBU-FEA rendszer esetén 200-150-100 bar nyomáson mérve kisebb mértékű eltérés figyelhető meg, a diaszteromer só enantiomertisztasága 80-90% volt.</w:t>
      </w:r>
      <w:r>
        <w:rPr>
          <w:color w:val="000000"/>
          <w:sz w:val="24"/>
          <w:szCs w:val="24"/>
        </w:rPr>
        <w:br/>
        <w:t xml:space="preserve">TDK dolgozatomban bemutatom, hogy a szuperkritikus antiszolvens kristályosítás reszolválási rendszertől függően a körülmények megfelelő megválasztása esetén hatékony és szelektív enantiomerelválasztást tesz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04849">
    <w:multiLevelType w:val="hybridMultilevel"/>
    <w:lvl w:ilvl="0" w:tplc="49848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04849">
    <w:abstractNumId w:val="619048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857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