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LORINCZ</w:t>
            </w:r>
          </w:p>
          <w:p w:rsidR="00C275A3" w:rsidRDefault="00A96AEC" w:rsidP="00C275A3">
            <w:pPr>
              <w:pStyle w:val="Hallgatokepzes"/>
            </w:pPr>
            <w:r>
              <w:t>chemical engineer </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Székely PhD.</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Diastereomer salt crystallization using the supercirical antisolvent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is increasing demand for optically active compounds in various fields of the chemical industry. Thus, technologies capable of producing substances of high enantimeric purity in large volumes via economically and enviromentally favorable routes are of great significance.</w:t>
      </w:r>
      <w:r>
        <w:rPr>
          <w:color w:val="000000"/>
          <w:sz w:val="24"/>
          <w:szCs w:val="24"/>
        </w:rPr>
        <w:br/>
        <w:t xml:space="preserve">My research focused on the chiral resolution of different racemic compounds via supercritical antisolvent (SAS) process. The theoretical applicability of this method was demonstrated in only two articles in the literature, with one example in each, without presenting a detailed investigation. An organic solution of the racemate and the resolving agent was placed in a high-pressure vessel which was pressurized with carbon dioxide acting as the antisolvent. To ensure complete precipitation, the mixture was stirred for an hour then washed with carbon dioxide at a constant pressure and temperature. This removed the unreacted enantiomers and the solvent. After depressurization, the diastereomeric salt was recovered in solid form. Enantiomeric purities were determined by chiral gas chromatography.</w:t>
      </w:r>
      <w:r>
        <w:rPr>
          <w:color w:val="000000"/>
          <w:sz w:val="24"/>
          <w:szCs w:val="24"/>
        </w:rPr>
        <w:br/>
        <w:t xml:space="preserve">Of the resolution systems examined, cis-permethric acid–2-(benzylamino)butane-1-ol (CPS–BAB), trans-1,2-cyclohexanediol–L-tartaric acid (CHD–BS) and cis-chrysanthemic acid–2-(benzylamino)butane-1-ol showed no chiral discrimination when using methanol; the diastereomeric salts crystallized at 150 bars and 45 °C were practically racemic. cis-permethric acid–(R)-1-(phenylethyl)amine and ibuprofen–(R)-1-(phenylethyl)amine yielded small amounts of diastereomeric salts, however, the enantiomeric excess values of these salts reached 80–90%.</w:t>
      </w:r>
      <w:r>
        <w:rPr>
          <w:color w:val="000000"/>
          <w:sz w:val="24"/>
          <w:szCs w:val="24"/>
        </w:rPr>
        <w:br/>
        <w:t xml:space="preserve">I carried out a detailed investigation into the effect of pressure on the CPS–FEA system at 45 °C, between 100 and 200 bar. The results indicate that pressure significantly affects both enantiomeric excess and yield. Enantiomeric excesses vary from 96% to 0%, with a sharp transition between 120 and 130 bars.</w:t>
      </w:r>
      <w:r>
        <w:rPr>
          <w:color w:val="000000"/>
          <w:sz w:val="24"/>
          <w:szCs w:val="24"/>
        </w:rPr>
        <w:br/>
        <w:t xml:space="preserve">There is a smaller effect on the IBU–FEA system when investigated at pressures of 100, 150 and 200 bars, the enantiomeric excess of the diastereomeric salt is 80–90%</w:t>
      </w:r>
      <w:r>
        <w:rPr>
          <w:color w:val="000000"/>
          <w:sz w:val="24"/>
          <w:szCs w:val="24"/>
        </w:rPr>
        <w:br/>
        <w:t xml:space="preserve">In my work, I demonstrate that – depending on the resolution system – supercritical antisolvent crystallization can provide an efficient and selective enantiomer separation under suitably chosen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26284">
    <w:multiLevelType w:val="hybridMultilevel"/>
    <w:lvl w:ilvl="0" w:tplc="96040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26284">
    <w:abstractNumId w:val="73026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1901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