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PÁL</w:t>
            </w:r>
          </w:p>
          <w:p w:rsidR="00C275A3" w:rsidRDefault="00A96AEC" w:rsidP="00C275A3">
            <w:pPr>
              <w:pStyle w:val="Hallgatokepzes"/>
            </w:pPr>
            <w:r>
              <w:t>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Huszthy, D.Sc.</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Synthesis and anion recognition studies of sensor molecules containing a phenothiazine unit</w:t>
      </w:r>
    </w:p>
    <w:p w:rsidR="00D71DF5" w:rsidRDefault="00D71DF5" w:rsidP="00AD2602">
      <w:pPr>
        <w:jc w:val="both"/>
      </w:pPr>
    </w:p>
    <w:p>
      <w:pPr>
        <w:pBdr/>
        <w:spacing w:before="240" w:after="240" w:line="240" w:lineRule="auto"/>
        <w:ind w:left="0" w:right="0"/>
        <w:jc w:val="left"/>
      </w:pPr>
      <w:r>
        <w:rPr>
          <w:color w:val="000000"/>
          <w:sz w:val="24"/>
          <w:szCs w:val="24"/>
        </w:rPr>
        <w:t xml:space="preserve">As one of the fields of supramolecular chemistry, anion receptor chemistry has expanded notably in the past decade. Based on molecular recognition phenomena, which can also be observed in nature, many anion selective sensor and selector molecules are capable of sensing and separating anionic species.</w:t>
      </w:r>
    </w:p>
    <w:p>
      <w:pPr>
        <w:pBdr/>
        <w:spacing w:before="240" w:after="240" w:line="240" w:lineRule="auto"/>
        <w:ind w:left="0" w:right="0"/>
        <w:jc w:val="left"/>
      </w:pPr>
      <w:r>
        <w:rPr>
          <w:color w:val="000000"/>
          <w:sz w:val="24"/>
          <w:szCs w:val="24"/>
        </w:rPr>
        <w:t xml:space="preserve">One of the main groups of anion receptors consists of neutral molecules with slightly acidic NH groups. These sensor molecules bind anions via hydrogen bond formation, which is often accompanied by deprotonation in the case of basic anions.</w:t>
      </w:r>
    </w:p>
    <w:p>
      <w:pPr>
        <w:pBdr/>
        <w:spacing w:before="240" w:after="240" w:line="240" w:lineRule="auto"/>
        <w:ind w:left="0" w:right="0"/>
        <w:jc w:val="left"/>
      </w:pPr>
      <w:r>
        <w:rPr>
          <w:color w:val="000000"/>
          <w:sz w:val="24"/>
          <w:szCs w:val="24"/>
        </w:rPr>
        <w:t xml:space="preserve">Starting from phenothiazine novel achiral and optically active sensor molecules were synthesized. Following the alkylation, nitration and oxidation of phenothiazine, diamine 1 was prepared by catalytic hydrogenation. Using the latter key intermediate different receptor molecules containing urea, thiourea or sulfonamide moieties (2-9) were obtained.</w:t>
      </w:r>
    </w:p>
    <w:p>
      <w:pPr>
        <w:pBdr/>
        <w:spacing w:before="240" w:after="240" w:line="240" w:lineRule="auto"/>
        <w:ind w:left="0" w:right="0"/>
        <w:jc w:val="left"/>
      </w:pPr>
      <w:r>
        <w:rPr>
          <w:color w:val="000000"/>
          <w:sz w:val="24"/>
          <w:szCs w:val="24"/>
        </w:rPr>
        <w:drawing>
          <wp:inline distT="0" distB="0" distL="0" distR="0">
            <wp:extent cx="5349600" cy="1980000"/>
            <wp:docPr id="28150230" name="name150bc7afa1a13b" descr="1820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206_1.png"/>
                    <pic:cNvPicPr/>
                  </pic:nvPicPr>
                  <pic:blipFill>
                    <a:blip r:embed="rId150bc7afa1a0fe" cstate="print"/>
                    <a:stretch>
                      <a:fillRect/>
                    </a:stretch>
                  </pic:blipFill>
                  <pic:spPr>
                    <a:xfrm>
                      <a:off x="0" y="0"/>
                      <a:ext cx="5349600" cy="19800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The anion recognition ability of sensor molecules 2, 3 and 8 was studied in acetonitrile by UV-vis spectroscopy. Studies of achiral host molecules 2 and 3 toward fluoride, chloride, bromide, iodide, nitrate, hydrogen sulfate, dihydrogen phosphate and acetate ions showed that in some cases deprotonated complex was also formed. The effect of the size of the protecting groups of amino acids on enantioselectivity was examined in the case of the enantiomers of N-protected tetrabutylammonium phenylglicinates and chiral receptor 8 containing tetraacetyl-glucopyranosyl units.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18126">
    <w:multiLevelType w:val="hybridMultilevel"/>
    <w:lvl w:ilvl="0" w:tplc="29390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18126">
    <w:abstractNumId w:val="513181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6790151" Type="http://schemas.openxmlformats.org/officeDocument/2006/relationships/numbering" Target="numbering.xml"/><Relationship Id="rId150bc7afa1a0fe" Type="http://schemas.openxmlformats.org/officeDocument/2006/relationships/image" Target="media/imgrId150bc7afa1a0f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