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ZEMPLÉNYI ZALÁN</w:t>
            </w:r>
          </w:p>
          <w:p w:rsidR="00C275A3" w:rsidRDefault="00A96AEC" w:rsidP="00C275A3">
            <w:pPr>
              <w:pStyle w:val="Hallgatokepzes"/>
            </w:pPr>
            <w:r>
              <w:t>Környezetmérnöki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Bartus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épület - energiahatékonysági és megújuló energiaforrásokat alkalmazó beruházások finanszírozási rendszerének átalakítása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épület-energiahatékonysági és megújuló energiaforrásokat alkalmazó beruházások finanszírozási rendszerének átalakítása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az általam kidolgozott PRGR finanszírozási rendszert, amelynek célja, a hazai épület-energiahatékonysági beruházások ösztönzése és fenntartható finanszírozásának biztosítása.</w:t>
      </w:r>
      <w:r>
        <w:rPr>
          <w:color w:val="000000"/>
          <w:sz w:val="24"/>
          <w:szCs w:val="24"/>
        </w:rPr>
        <w:br/>
        <w:t xml:space="preserve">Kutatásomat elméleti síkon indítottam el. Feltártam a fő problémákat, majd ezekre „tankönyvi” megoldásokat kerestem. Ezek után tanulmányoztam a hazai és a nemzetközi gyakorlatot. Majd felépítettem a PRGR rendszert, az energiahatékonysági beruházások finanszírozásának valós megoldást nyújtó eszközrendszerét. Végül mélyinterjút készítettem az egyik hazai energiahatékonysági beruházásokat végző cég ügyvezetőjével, illetve a finanszírozói oldal egy szereplőjével, hogy megismerjem a piaci tapasztalatokat, és felmérjem a PRGR rendszer várható piaci fogadtatását.</w:t>
      </w:r>
      <w:r>
        <w:rPr>
          <w:color w:val="000000"/>
          <w:sz w:val="24"/>
          <w:szCs w:val="24"/>
        </w:rPr>
        <w:br/>
        <w:t xml:space="preserve">A nemzetközi és a hazai felmérések szerint az energiahatékonysági beruházások legfőbb akadályai pénzügyi természetűek.</w:t>
      </w:r>
      <w:r>
        <w:rPr>
          <w:color w:val="000000"/>
          <w:sz w:val="24"/>
          <w:szCs w:val="24"/>
        </w:rPr>
        <w:br/>
        <w:t xml:space="preserve">Magyarországon a saját tőke hiánya, az eladósodottság, a hitelezés magas kamatok melletti alacsony szintje, illetve a hosszú és bizonytalan megtérülési idő jelenti a legkomolyabb akadályt. A PRGR rendszer ezeket a problémákat igyekszik orvosolni.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finanszírozási rendszer négy pillére az Előfinanszírozás (Prefinance), a Kamattámogatás (Rate Subsidy), az Állami Garancia (State Guarantee) és a Refinanszírozás (Refinance).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PRGR két lehetséges forgatókönyv szerint épülhet fel. Az egyikben a Magyar Fejlesztési Bankon, a másikban a kereskedelmi bankokon keresztül történik a beruházások finanszírozása.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energiahatékonysági beruházások egyik fő forrását az Európai Uniós támogatások jelentik. A jelenlegi gyakorlat szerint azonban, a támogatások a kedvezményezettek számára utófinanszírozás formájában realizálódnak.</w:t>
      </w:r>
      <w:r>
        <w:rPr>
          <w:color w:val="000000"/>
          <w:sz w:val="24"/>
          <w:szCs w:val="24"/>
        </w:rPr>
        <w:br/>
        <w:t xml:space="preserve">A PRGR rendszerben az uniós pályázatokon nyertes felek számára a pénzintézetek a támogatás teljes összegét hitel formájában előfinanszírozzák, majd azt, a hitel törlesztőrészleteiben kamattámogatásként érvényesítik.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előfinanszírozás azonban megfelelő fedezet nélkül működésképtelen. A PRGR rendszerben az előfinanszírozás mögött álló 80 %-os állami garancia jelentősen csökkenti a bankokat terhelő kockázatot.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beruházók, a pénzintézetek és az állam számára is előnyös az olcsó refinanszírozási források bevonása, amely jobb hitelezési környezetet eredményez.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PRGR rendszer makrogazdasági szinten is pozitív változások katalizátora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58684">
    <w:multiLevelType w:val="hybridMultilevel"/>
    <w:lvl w:ilvl="0" w:tplc="67157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58684">
    <w:abstractNumId w:val="96558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070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