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BUZÁSI</w:t>
            </w:r>
          </w:p>
          <w:p w:rsidR="00C275A3" w:rsidRDefault="00A96AEC" w:rsidP="00C275A3">
            <w:pPr>
              <w:pStyle w:val="Hallgatokepzes"/>
            </w:pPr>
            <w:r>
              <w:t>Regional and environmental management</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Csete</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urban sustainability in Central Europe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more than one-half of the world’s population lives in urban areas and it is estimated to reach 70% of the total population in the world by 2050. 72% of the European population lives in cities and the increasing urbanisation can negatively impact almost everything from the availability of vital green spaces to social and ecological problems.</w:t>
      </w:r>
    </w:p>
    <w:p>
      <w:pPr>
        <w:pBdr/>
        <w:spacing w:before="240" w:after="240" w:line="240" w:lineRule="auto"/>
        <w:ind w:left="0" w:right="0"/>
        <w:jc w:val="left"/>
      </w:pPr>
      <w:r>
        <w:rPr>
          <w:color w:val="000000"/>
          <w:sz w:val="24"/>
          <w:szCs w:val="24"/>
        </w:rPr>
        <w:t xml:space="preserve">The urban sustainability indicators and its application is one of the most important topic in the newest international urban studies, since the indicators are one of the most frequently used tools to assess sustainability in regional and local scale. Increasing number of publications show international interest and scientific wealth of this topic.</w:t>
      </w:r>
    </w:p>
    <w:p>
      <w:pPr>
        <w:pBdr/>
        <w:spacing w:before="240" w:after="240" w:line="240" w:lineRule="auto"/>
        <w:ind w:left="0" w:right="0"/>
        <w:jc w:val="left"/>
      </w:pPr>
      <w:r>
        <w:rPr>
          <w:color w:val="000000"/>
          <w:sz w:val="24"/>
          <w:szCs w:val="24"/>
        </w:rPr>
        <w:t xml:space="preserve">The main goal of this paper is to develop a set of indicators which is successfully usable for measurement of sustainability of cities in Eastern and Central Europe such as mainly Budapest, Vienna and Warsaw. In the first part of paper there is a review of international studies and methods, moreover an assessment of advantages and disadvantages of these methodologies, because of there are no studies in connection with set of indicators about measurement of urban sustainability in Hungary. In the second session there is a complex indicator in the focus which is based on availability of statistical and measuring datas, in addition it can reflect the sustainability of Budapest, Vienna and Warsaw.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99194">
    <w:multiLevelType w:val="hybridMultilevel"/>
    <w:lvl w:ilvl="0" w:tplc="64106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99194">
    <w:abstractNumId w:val="93999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252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