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FARKAS</w:t>
            </w:r>
          </w:p>
          <w:p w:rsidR="00C275A3" w:rsidRDefault="00A96AEC" w:rsidP="00C275A3">
            <w:pPr>
              <w:pStyle w:val="Hallgatokepzes"/>
            </w:pPr>
            <w:r>
              <w:t>Environmental engineer</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Csete</w:t>
            </w:r>
          </w:p>
          <w:p w:rsidR="00DB4822" w:rsidRDefault="00DB4822" w:rsidP="00E11062">
            <w:pPr>
              <w:pStyle w:val="Konzulensek"/>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Review of the goodwill value related to natural environment in Hungary or why costs the bustard 1 million HUF?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due to the increasing number of global phenomena the negative impacts on natural environment are also intensifying. The main goal of environmental protection is the conservation and restoration biosphere’s current state considering biological diversity and quality of ecosystem services. Environmental protection brings into focus reserves, different type of protected areas, landscapes and habitats. It is pivotal to prevent harmful impacts and protect natural resources for the sake of our next generations.</w:t>
      </w:r>
      <w:r>
        <w:rPr>
          <w:color w:val="000000"/>
          <w:sz w:val="24"/>
          <w:szCs w:val="24"/>
        </w:rPr>
        <w:br/>
        <w:t xml:space="preserve">The focus of the present study is to highlight the interrelations between environmental protection and the possible answers in relation to global challenges. The analysis points out the goodwill value of particular elements belonging to natural environment. The study gives an overview related to international engagements and domestic environmental law.</w:t>
      </w:r>
      <w:r>
        <w:rPr>
          <w:color w:val="000000"/>
          <w:sz w:val="24"/>
          <w:szCs w:val="24"/>
        </w:rPr>
        <w:br/>
        <w:t xml:space="preserve">In practice environmental protection appears in three levels: natural habitats and landscape in protected areas; biodiversity in no protected areas; saving endangered species ubiquitous. The examinations deal with the process of preserving, show the connections between endangered and rare species.</w:t>
      </w:r>
      <w:r>
        <w:rPr>
          <w:color w:val="000000"/>
          <w:sz w:val="24"/>
          <w:szCs w:val="24"/>
        </w:rPr>
        <w:br/>
        <w:t xml:space="preserve">The aim of this appraisal is to present how the goodwill value of natural environment can change considering the different impacts of global phenomena and socio-economic performance alteration. According to the different aspects of environmental assessment a scheme method will be developed. Based on this methodology the present study will emphasise potential recommendations and complementary criteria fostering the improvement the recent methodology.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85275">
    <w:multiLevelType w:val="hybridMultilevel"/>
    <w:lvl w:ilvl="0" w:tplc="42329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85275">
    <w:abstractNumId w:val="730852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03209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