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BIANKA PERGE</w:t>
            </w:r>
          </w:p>
          <w:p w:rsidR="00C275A3" w:rsidRDefault="00A96AEC" w:rsidP="00C275A3">
            <w:pPr>
              <w:pStyle w:val="Hallgatokepzes"/>
            </w:pPr>
            <w:r>
              <w:t>International Economics</w:t>
            </w:r>
            <w:r>
              <w:br/>
            </w:r>
            <w:r w:rsidR="00E77B23">
              <w:t>BSc, 3.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Ildikó Petruska, Dr.</w:t>
            </w:r>
          </w:p>
          <w:p w:rsidR="00DB4822" w:rsidRDefault="00DB4822" w:rsidP="00E11062">
            <w:pPr>
              <w:pStyle w:val="Konzulensek"/>
            </w:pPr>
            <w:r w:rsidRPr="00DB4822">
              <w:t>  associate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Brand Hungary- The impact of country branding on the student tourism of Hungarian higher education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main topic of my essay is the impact of the Hungarian country image and the brand value of the country on foreign students of Hungarian higher education in their choice of academic destinations.</w:t>
      </w:r>
      <w:r>
        <w:rPr>
          <w:color w:val="000000"/>
          <w:sz w:val="24"/>
          <w:szCs w:val="24"/>
        </w:rPr>
        <w:br/>
        <w:t xml:space="preserve">I wrote about the theoretical background in details, from which we can get an insight how to measure country brand value and which are the best models to filter out the most precise and most relevant information. With the help of Kapferer’s brand identity prism I have revealed the main dimensions of the brand of Hungary by adapting the elements of a classic brand to our country.</w:t>
      </w:r>
      <w:r>
        <w:rPr>
          <w:color w:val="000000"/>
          <w:sz w:val="24"/>
          <w:szCs w:val="24"/>
        </w:rPr>
        <w:br/>
        <w:t xml:space="preserve">During my work I made a primer research of questionnaire to get information about the country image of foreign students of Budapest University of Technology and Economics, and the relationship between country image and theire choice of academic destination. My research gave me obvious answer to the question of the possibility to revive professional tourism of higher education with the help of brand building, and it became clear that the relationship between the two analyzed dimensions exists.</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103687">
    <w:multiLevelType w:val="hybridMultilevel"/>
    <w:lvl w:ilvl="0" w:tplc="428262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103687">
    <w:abstractNumId w:val="951036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52141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