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MERI</w:t>
            </w:r>
          </w:p>
          <w:p w:rsidR="00C275A3" w:rsidRDefault="00A96AEC" w:rsidP="00C275A3">
            <w:pPr>
              <w:pStyle w:val="Hallgatokepzes"/>
            </w:pPr>
            <w:r>
              <w:t>International Business</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Vágási Mária Ph.d</w:t>
            </w:r>
          </w:p>
          <w:p w:rsidR="00DB4822" w:rsidRDefault="00DB4822" w:rsidP="00E11062">
            <w:pPr>
              <w:pStyle w:val="Konzulensek"/>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market entrants – new strategies? Expectable transformations on the Hungarian market of the mobile telephone services in the light of changes in the year 2012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Hungary after the first nine years of consolidation on the market of the cellular/mobile telephone communication services (1990-1999) the mobile phone users could select among the supplies of not more than three service providers (T-Mobile, Telenor, Vodafone). But from the beginning of autumn of 2011, a series of changes started nearly simultaneously which help forecasting the duplication of the number of market actors. E.g. Tesco Mobile, a state syndicate and Blue Mobile as the member of the Lidl Hungary Group were each applying to enter the market.</w:t>
      </w:r>
    </w:p>
    <w:p>
      <w:pPr>
        <w:pBdr/>
        <w:spacing w:before="240" w:after="240" w:line="240" w:lineRule="auto"/>
        <w:ind w:left="0" w:right="0"/>
        <w:jc w:val="left"/>
      </w:pPr>
      <w:r>
        <w:rPr>
          <w:color w:val="000000"/>
          <w:sz w:val="24"/>
          <w:szCs w:val="24"/>
        </w:rPr>
        <w:t xml:space="preserve">Furthermore, the service providers being present on the market earlier have to face the recently introduced „telecommunication tax”, too. The above conditions have brought with themselves probable and forecastable changes in relation to some questions of the competitiveness and the necessity of the reviewing the earlier strategies. The purpose of my research was to reveal the main elements, in which the changes may appear regarding especially the strategies toward the retaining of existing customers in the case of the earlier service providers, or the acquisition of costumers in the case of the new market entrants.</w:t>
      </w:r>
    </w:p>
    <w:p>
      <w:pPr>
        <w:pBdr/>
        <w:spacing w:before="240" w:after="240" w:line="240" w:lineRule="auto"/>
        <w:ind w:left="0" w:right="0"/>
        <w:jc w:val="left"/>
      </w:pPr>
      <w:r>
        <w:rPr>
          <w:color w:val="000000"/>
          <w:sz w:val="24"/>
          <w:szCs w:val="24"/>
        </w:rPr>
        <w:t xml:space="preserve">Based upon secondary sources and analysis my study deals with the effect of the changes on the market, the positions of the different actors and the first reactions in their strategies. Furthermore, secondary sources were used for the primary research (online survey) in the definition of service satisfaction factors of consumers.</w:t>
      </w:r>
    </w:p>
    <w:p>
      <w:pPr>
        <w:pBdr/>
        <w:spacing w:before="240" w:after="240" w:line="240" w:lineRule="auto"/>
        <w:ind w:left="0" w:right="0"/>
        <w:jc w:val="left"/>
      </w:pPr>
      <w:r>
        <w:rPr>
          <w:color w:val="000000"/>
          <w:sz w:val="24"/>
          <w:szCs w:val="24"/>
        </w:rPr>
        <w:t xml:space="preserve">I conducted a research among university students in the field of mobile phone usage habits and customer satisfaction, starting form the concept, that university students they are important clients and distainguishible segment of the market. They make their decisions consciously, are open for the newnesses and react quickly to the changes. The online survey examined the usage habits of this consumer group in three areas of services (Voice calls, SMS sending and mobile internet usage), investigated the price- and quality perception as well as the revealed problems, and asked them about their expectations concerning the arrival of new service providers.</w:t>
      </w:r>
    </w:p>
    <w:p>
      <w:pPr>
        <w:pBdr/>
        <w:spacing w:before="240" w:after="240" w:line="240" w:lineRule="auto"/>
        <w:ind w:left="0" w:right="0"/>
        <w:jc w:val="left"/>
      </w:pPr>
      <w:r>
        <w:rPr>
          <w:color w:val="000000"/>
          <w:sz w:val="24"/>
          <w:szCs w:val="24"/>
        </w:rPr>
        <w:t xml:space="preserve">The research results have mostly confirmed the hypotesis drawn up in the research concept based on the secondary sources and may provide useful informations both to the newer and the previously present mobile service providers on the market about the drivers of the brand loyalty of the young generation.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58218">
    <w:multiLevelType w:val="hybridMultilevel"/>
    <w:lvl w:ilvl="0" w:tplc="213402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58218">
    <w:abstractNumId w:val="775582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06880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