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TÓTH</w:t>
            </w:r>
          </w:p>
          <w:p w:rsidR="00C275A3" w:rsidRDefault="00A96AEC" w:rsidP="00C275A3">
            <w:pPr>
              <w:pStyle w:val="Hallgatokepzes"/>
            </w:pPr>
            <w:r>
              <w:t>BA in Management and Business Administration</w:t>
            </w:r>
            <w:r>
              <w:br/>
            </w:r>
            <w:r w:rsidR="00E77B23">
              <w:t>BSc, 6.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Mária Lakatos, Dr.</w:t>
            </w:r>
          </w:p>
          <w:p w:rsidR="00DB4822" w:rsidRDefault="00DB4822" w:rsidP="00E11062">
            <w:pPr>
              <w:pStyle w:val="Konzulensek"/>
            </w:pPr>
            <w:r w:rsidRPr="00DB4822">
              <w:t>assistant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Comparative Analysis of the European Union and Chinese type Value-Added-Taxation, Outlook on the Indirect Taxation of the United States of America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dissertation concerns the comparative analysis and observation of the value added tax systems operated both in the European Union and in the People’s Republic of China along factors, such as the scope of the tax, taxable persons, treatment of exemptions, mechanism of deduction and the transparency of the regulation from the aspect of enterprises’ compliance and administrative burdens. During the analysis I follow the principles set out by both the IMF and the OECD concerning the aspects needed to be taken into account when forming regulations. In my opinion each system thus can be evaluated according to these aspects and the theoretical or practical deficiencies can be determined so. The analysis in this manner aims to demonstrate the possibilities or obstacles of the development of the particular system, and to point out the factors, which are indispensable to be taken into consideration in order to ensure the efficiency of taxation and the wider economic environment. Apart from detailing the national (or member state) peculiar features and their explanation, I intend to emphasize the potential and urging reform-alternatives of each system to hinder tax-abuse and secure the inflow of budget revenues. The paper furthermore observes the so-called “sales tax” system operated in the United States, and concerns its substitutability by a federal value added tax detailing its advantages, disadvantages, the necessity of its introduction and its hindering factors.</w:t>
      </w:r>
    </w:p>
    <w:p>
      <w:pPr>
        <w:pBdr/>
        <w:spacing w:before="240" w:after="240" w:line="240" w:lineRule="auto"/>
        <w:ind w:left="0" w:right="0"/>
        <w:jc w:val="left"/>
      </w:pPr>
      <w:r>
        <w:rPr>
          <w:color w:val="000000"/>
          <w:sz w:val="24"/>
          <w:szCs w:val="24"/>
        </w:rPr>
        <w:t xml:space="preserve">As a result of the research I conclude that the EU is the most developed concerning the regulation and it aims to ensure competitiveness of enterprises to the greatest degree. However, China has the biggest potential to enhance uniformity, but the protection of certain activities and state-owned firms still exists. The establishment of a market economy thus requires further neutralizing steps. On the contrary, the majority of tax revenues derive from income taxation in the U.S. The sales tax is still supported by states despite its cascading and hence distortionary effect.</w:t>
      </w:r>
    </w:p>
    <w:p>
      <w:pPr>
        <w:pBdr/>
        <w:spacing w:before="240" w:after="240" w:line="240" w:lineRule="auto"/>
        <w:ind w:left="0" w:right="0"/>
        <w:jc w:val="left"/>
      </w:pPr>
      <w:r>
        <w:rPr>
          <w:color w:val="000000"/>
          <w:sz w:val="24"/>
          <w:szCs w:val="24"/>
        </w:rPr>
        <w:t xml:space="preserve">The essay includes the major aspects of publications considering the topic and their opposition. For underpinning or contrasting theories I used statistical data.</w:t>
      </w:r>
    </w:p>
    <w:p>
      <w:pPr>
        <w:pBdr/>
        <w:spacing w:before="240" w:after="240" w:line="240" w:lineRule="auto"/>
        <w:ind w:left="0" w:right="0"/>
        <w:jc w:val="left"/>
      </w:pPr>
      <w:r>
        <w:rPr>
          <w:color w:val="000000"/>
          <w:sz w:val="24"/>
          <w:szCs w:val="24"/>
        </w:rPr>
        <w:t xml:space="preserve">The topic-choice is significantly justified by the ‘way out seeker’ behaviour of the governments from the economic crisis worldwide, as they rely on tax revenues – especially deriving from indirect taxation – to a greater extent with the aim of balancing their budgets.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065264">
    <w:multiLevelType w:val="hybridMultilevel"/>
    <w:lvl w:ilvl="0" w:tplc="178889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065264">
    <w:abstractNumId w:val="390652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10519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