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BIRTALAN</w:t>
            </w:r>
          </w:p>
          <w:p w:rsidR="00C275A3" w:rsidRDefault="00A96AEC" w:rsidP="00C275A3">
            <w:pPr>
              <w:pStyle w:val="Hallgatokepzes"/>
            </w:pPr>
            <w:r>
              <w:t>Master Program in Architectural Engineering (5 year integrated) </w:t>
            </w:r>
            <w:r>
              <w:br/>
            </w:r>
            <w:r w:rsidR="00E77B23">
              <w:t>Unified, 11.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BOGLARKA ERDEI</w:t>
            </w:r>
          </w:p>
          <w:p w:rsidR="00DB4822" w:rsidRDefault="00C275A3" w:rsidP="004D7940">
            <w:pPr>
              <w:pStyle w:val="Hallgatokepzes"/>
            </w:pPr>
            <w:r>
              <w:t>MA in Communication and Media Science</w:t>
            </w:r>
            <w:r w:rsidR="00A96AEC">
              <w:br/>
              <w:t>MSc,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Economic and Social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SOTI</w:t>
            </w:r>
          </w:p>
          <w:p w:rsidR="00C275A3" w:rsidRDefault="00A96AEC" w:rsidP="00C275A3">
            <w:pPr>
              <w:pStyle w:val="Hallgatokepzes"/>
            </w:pPr>
            <w:r>
              <w:t>MA in Communication and Media Science</w:t>
            </w:r>
            <w:r>
              <w:br/>
            </w:r>
            <w:r w:rsidR="00E77B23">
              <w:t>MSc, 5.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Annamaria Orban PhD</w:t>
            </w:r>
          </w:p>
          <w:p w:rsidR="00DB4822" w:rsidRDefault="00DB4822" w:rsidP="00E11062">
            <w:pPr>
              <w:pStyle w:val="Konzulensek"/>
            </w:pPr>
            <w:r w:rsidRPr="00DB4822">
              <w:t>Associate Professor, BME GTK</w:t>
            </w:r>
          </w:p>
        </w:tc>
      </w:tr>
      <w:tr w:rsidR="00DB4822" w:rsidTr="00DB4822">
        <w:tc>
          <w:tcPr>
            <w:tcW w:w="9854" w:type="dxa"/>
          </w:tcPr>
          <w:p w:rsidR="00DB4822" w:rsidRPr="00DB4822" w:rsidRDefault="00DB4822" w:rsidP="004D7940">
            <w:pPr>
              <w:pStyle w:val="Konzulensek"/>
            </w:pPr>
            <w:r w:rsidRPr="00DB4822">
              <w:t>Peter Viranyi PhD</w:t>
            </w:r>
          </w:p>
          <w:p w:rsidR="00DB4822" w:rsidRDefault="00DB4822" w:rsidP="00E11062">
            <w:pPr>
              <w:pStyle w:val="Konzulensek"/>
            </w:pPr>
            <w:r w:rsidRPr="00DB4822">
              <w:t>Honorary 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Odooproject. Responsibility, Innovation-Sensitive Education, "Science Infotainment"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paper we introduce the communication action plan combined with its underlying scientific approaches and aspects of the official Hungarian Team’s project „Odooproject” of the Budapest University of Technology and Economics (BME) in t he Solar Decathlon Europe 2012 international competition that challenges collegiate teams to design and build houses powered exclusively by the sun. Our paper will be completed with our specific knowledge and personal experiences we could gain in the project work in the past several months. The paper consists of three main pillars: a) the presentation of the theories on sustainability b) interfaces of the communication work of Odooproject and the disciplines represented by it c) Odooproject as a pilot project and the presentation of its communication work.</w:t>
      </w:r>
    </w:p>
    <w:p>
      <w:pPr>
        <w:widowControl w:val="on"/>
        <w:pBdr/>
        <w:spacing w:before="240" w:after="240" w:line="240" w:lineRule="auto"/>
        <w:ind w:left="0" w:right="0"/>
        <w:jc w:val="left"/>
      </w:pPr>
      <w:r>
        <w:rPr>
          <w:color w:val="000000"/>
          <w:sz w:val="24"/>
          <w:szCs w:val="24"/>
        </w:rPr>
        <w:t xml:space="preserve">In the first part of our paper we begin with the presentation of the theories on sustainability. In the next part, we analyze the historical outlook of technology and science communication’s developmental milestones, current status and means. In our opinion, it is interesting to examine how scientists and researchers communicate their technical innovations and new innovative solutions to disseminate their scientific knowledge in a more comprehensible and interesting way towards layman and in sciences less experienced people. Namely, doing it in an inappropriate way, it can lead to the isolation of the lay public for themselves as well as the disciplines represented by them. In the third part of our paper is discussed that through the Solar Decathlon Europe competition how the values - such as environmental protection and sustainable lifestyle education - are mediated, and that, as a sort of this theoretical awareness and implementation is the solar house with its function and concept. We want to build this kind of communication work of the project as a kind of good example and educational resource material for similar academic initiatives in the future. We believe that this sort of university project should be communicated on an appropriate level with the help of a communication action plan, and development to an educational material. To achieve this, we should begin with the explanation of the mission of the competition, then continue with the analyzes of the other competitors communication works until we will be able to formulate recommendations and good practices for future similar projects.</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03355">
    <w:multiLevelType w:val="hybridMultilevel"/>
    <w:lvl w:ilvl="0" w:tplc="905457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03355">
    <w:abstractNumId w:val="922033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51632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