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LÍVIA PINTÉR</w:t>
            </w:r>
          </w:p>
          <w:p w:rsidR="00C275A3" w:rsidRDefault="00A96AEC" w:rsidP="00C275A3">
            <w:pPr>
              <w:pStyle w:val="Hallgatokepzes"/>
            </w:pPr>
            <w:r>
              <w:t>Communication and media science</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Dúll</w:t>
            </w:r>
          </w:p>
          <w:p w:rsidR="00DB4822" w:rsidRDefault="00DB4822" w:rsidP="00E11062">
            <w:pPr>
              <w:pStyle w:val="Konzulensek"/>
            </w:pPr>
            <w:r w:rsidRPr="00DB4822">
              <w:t>associate professor, BME GTK</w:t>
            </w:r>
          </w:p>
        </w:tc>
      </w:tr>
      <w:tr w:rsidR="00DB4822" w:rsidTr="00DB4822">
        <w:tc>
          <w:tcPr>
            <w:tcW w:w="9854" w:type="dxa"/>
          </w:tcPr>
          <w:p w:rsidR="00DB4822" w:rsidRPr="00DB4822" w:rsidRDefault="00DB4822" w:rsidP="004D7940">
            <w:pPr>
              <w:pStyle w:val="Konzulensek"/>
            </w:pPr>
            <w:r w:rsidRPr="00DB4822">
              <w:t>Zsolt Bátori</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image of the place Criteria of legibility through the environmental communication survey of Széll Kálmán square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central element of the paper is Széll Kálmán square like the examination of a unique public place in Budapest but with instantiating some other examples of the capital’s public places my purpose is to get closer to the environmental psychology terminology of legibility. General assembly of the capital has accepted the conception of the settlement of the square 2011 autumn that gives the relevancy of the topic and also that plenty of other public place project took place recently in the concept of the “liveable city”.  </w:t>
      </w:r>
    </w:p>
    <w:p>
      <w:pPr>
        <w:pBdr/>
        <w:spacing w:before="240" w:after="240" w:line="240" w:lineRule="auto"/>
        <w:ind w:left="0" w:right="0"/>
        <w:jc w:val="left"/>
      </w:pPr>
      <w:r>
        <w:rPr>
          <w:color w:val="000000"/>
          <w:sz w:val="24"/>
          <w:szCs w:val="24"/>
        </w:rPr>
        <w:t xml:space="preserve">Hypothesis is that the term of legibility – as the rate of the presence of those kind of spatial elements or qualities that help wayfinding and orientation in a given environment – is complex; it can be influenced by a lot of agent and can be defined on a scale. In the case of Széll Kálmán tér the ability of orientation is supported also by the emotional engagement. This study build upon a previous paper prepared to the seminar of Interdisciplinary Research in Communication Studies in 2011/2012 autumn semester and the focus group survey which prepared for the environmental psychology analyses. According to its results the part of the observed persons are engaged to the square because of the post-socialist picture of the place. Going ahead on this thread after reviewing the literature and making specific observations using the methodologies of Kevin Lynch and Catherine Dee, I made a questionnaire and tested it.</w:t>
      </w:r>
    </w:p>
    <w:p>
      <w:pPr>
        <w:pBdr/>
        <w:spacing w:before="240" w:after="240" w:line="240" w:lineRule="auto"/>
        <w:ind w:left="0" w:right="0"/>
        <w:jc w:val="left"/>
      </w:pPr>
      <w:r>
        <w:rPr>
          <w:color w:val="000000"/>
          <w:sz w:val="24"/>
          <w:szCs w:val="24"/>
        </w:rPr>
        <w:br/>
        <w:t xml:space="preserve">I came to the conclusion that legibility is such a term that is not close to the average people but it can influence an average day of an average people. It unravelled from the analyses of the researchers works and earlier surveys that legibility can be surveyed from different aspects, depends on a lot of agents and modulus and effects on attitudes and behaviour. According to my purpose my work can support the reconstruction and the further plans. Usability surveys and legibility analyses of public places can be very useful for the business, advertisers or for the reduction of environmental stress.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80019">
    <w:multiLevelType w:val="hybridMultilevel"/>
    <w:lvl w:ilvl="0" w:tplc="87740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80019">
    <w:abstractNumId w:val="860800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910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