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JETTA BEKE</w:t>
            </w:r>
          </w:p>
          <w:p w:rsidR="00C275A3" w:rsidRDefault="00A96AEC" w:rsidP="00C275A3">
            <w:pPr>
              <w:pStyle w:val="Hallgatokepzes"/>
            </w:pPr>
            <w:r>
              <w:t>Economic and Rural Development, Agricultural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Gulyás, Dr.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workers opportunities in the European Union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hungarian workers opportunities in the European Union are very board, as there are currently 27 members of the Union. The employment abroad therefore be located many areas, particularly after in the transitional derogation period has elapsed (2011. 1 May). Regulations of the different periods, and migration-term nature of the present I worked on the basis of hypotheses. Among the hypotheses that Hungary joined the European Union, following a sharp increase in the number of employment abroad, that the number of migrating continued an upward trend, and the fact that a number of established migrating workers is significantly lower than the number of returning. I have demonstrated my hypothesis charts, statistical tables.In addition, I will summarize the country's top six prospects and present an interview with a person working in Germany.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94271">
    <w:multiLevelType w:val="hybridMultilevel"/>
    <w:lvl w:ilvl="0" w:tplc="74071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94271">
    <w:abstractNumId w:val="629942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5447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