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MADARÁSZ BÉLA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Bankó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Paradigmaváltás a munkaerőkölcsönzésben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a munkaerő-kölcsönzés változása az új Munka Törvénykönyvének tükrében. Szakítva a korábbi tanulmányok és monográfiák gyakorlatával, kizárólag az új törvény általi szabályozást kívántam elemezni, ezáltal bemutatva a munkaerő-kölcsönzés dogmatikáját és jelentőségét a XXI. század munkajogában, alkalmazhatóságának feltételeit és a gazdasági folyamatokra gyakorolt univerzális voltát.</w:t>
      </w:r>
      <w:r>
        <w:rPr>
          <w:color w:val="000000"/>
          <w:sz w:val="24"/>
          <w:szCs w:val="24"/>
        </w:rPr>
        <w:br/>
        <w:t xml:space="preserve">Különös hangsúlyt fektettem a kölcsönzött munkavállalók helyzetének bemutatására, milyen pszichikai tényezők befolyásolják munkamoráljukat és lojalitásukat ebben az atipikus munkaviszonyban. Az instabil gazdasági helyzetből adódóan kitértem a kölcsönzés gazdasági hasznosságára, közgazdasági szerepére.</w:t>
      </w:r>
      <w:r>
        <w:rPr>
          <w:color w:val="000000"/>
          <w:sz w:val="24"/>
          <w:szCs w:val="24"/>
        </w:rPr>
        <w:br/>
        <w:t xml:space="preserve">Végezetül a kapcsolódó Európai irányelv elemzése után igyekeztem levonni a konklúziókat és megfogalmazni de lege ferenda javaslataimat a munkaerő-kölcsönzés esetleges fejlesztési lehetőségeiről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72899">
    <w:multiLevelType w:val="hybridMultilevel"/>
    <w:lvl w:ilvl="0" w:tplc="19759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72899">
    <w:abstractNumId w:val="66672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67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