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MADARÁSZ</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Bankó</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change of paradigm in temporary agency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paper is the change of legislation on temporary agency work in the light of the new Labour Code. Breaking away from the methods of previous studies and monographs, I only intended to analyze the rules of the new Code, thus showing the dogmatics and importance of the topic in the labour law of the XI.th century, the conditions for its applicability, and its universal effects on the economy.</w:t>
      </w:r>
      <w:r>
        <w:rPr>
          <w:color w:val="000000"/>
          <w:sz w:val="24"/>
          <w:szCs w:val="24"/>
        </w:rPr>
        <w:br/>
        <w:t xml:space="preserve">I put special emphasis on the conditions of the temporary agency workers, to show how psychological factors affect their morale and loyalty in this atypical employment contract. Due to the unstable economic situation, I discussed the usefulness of this work form, and its economic role.</w:t>
      </w:r>
      <w:r>
        <w:rPr>
          <w:color w:val="000000"/>
          <w:sz w:val="24"/>
          <w:szCs w:val="24"/>
        </w:rPr>
        <w:br/>
        <w:t xml:space="preserve">To conclude, after analyzing the relevant European Directive I tried to draw conclusions and formulate my de lege ferranda suggestions for potential development of temporary agency work legislation.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03541">
    <w:multiLevelType w:val="hybridMultilevel"/>
    <w:lvl w:ilvl="0" w:tplc="73004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03541">
    <w:abstractNumId w:val="82803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802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