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VALKAI DÁVID</w:t>
            </w:r>
          </w:p>
          <w:p w:rsidR="00C275A3" w:rsidRDefault="00A96AEC" w:rsidP="00C275A3">
            <w:pPr>
              <w:pStyle w:val="Hallgatokepzes"/>
            </w:pPr>
            <w:r>
              <w:t>Tanár-Zeneismeret-ének-zenetanár</w:t>
            </w:r>
            <w:r>
              <w:br/>
            </w:r>
            <w:r w:rsidR="00E77B23">
              <w:t>MA,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Szilárd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Orbán György stílusa néhány szakrális kórusműve alapján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Orbán György stílusa néhány szakrális kórusműve alapján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Orbán György kortárs zeneszerző műveit szerte a világon játsszák, éneklik és számon tartják. Kórusmuzsikájával kivívta a kortársak elismerését, zenéjét számos kórus szívesen énekli, még ha olykor nem is egyszerű a feladat.</w:t>
      </w:r>
      <w:r>
        <w:rPr>
          <w:color w:val="000000"/>
          <w:sz w:val="24"/>
          <w:szCs w:val="24"/>
        </w:rPr>
        <w:br/>
        <w:t xml:space="preserve">Kórusműveit több kategóriába sorolhatjuk, a két legnagyobb csoport alapján: megkülönböztethetünk egyneműkari illetve vegyeskari műveket. Mivel ez igen nagy terület, ezért szorítkoztam a komponista vallásos tartalmú, latin nyelvű, a’ cappella vegyeskari műveire.</w:t>
      </w:r>
      <w:r>
        <w:rPr>
          <w:color w:val="000000"/>
          <w:sz w:val="24"/>
          <w:szCs w:val="24"/>
        </w:rPr>
        <w:br/>
        <w:t xml:space="preserve">Forrásként szolgált maga a szerző, aki lehetőséget biztosított számomra egy interjúval, hogy első kézből ismerhessem meg műveit. Szakrális vegyeskarai közül is csak négy mű került részletes elemzésre, melyek a következők:</w:t>
      </w:r>
      <w:r>
        <w:rPr>
          <w:color w:val="000000"/>
          <w:sz w:val="24"/>
          <w:szCs w:val="24"/>
        </w:rPr>
        <w:br/>
        <w:t xml:space="preserve">Veni Sancte Spiritus, Salve Regina, Ave verum corpus, 126. zsoltár.</w:t>
      </w:r>
      <w:r>
        <w:rPr>
          <w:color w:val="000000"/>
          <w:sz w:val="24"/>
          <w:szCs w:val="24"/>
        </w:rPr>
        <w:br/>
        <w:t xml:space="preserve">A műveket keletkezés szerint kronologikus sorrendben mutatom be a dolgozatban, ezzel könnyebben tájékozódhatunk a szerző stílusának változásáról. A darabok komplex módon való elemzésébe beletartozik mind a szövegfordítás, a szöveg és harmóniák viszonya, a prozódia kezelése és a formaalkotás. Ezen kívül minden műben felmerülnek az adott darabra vonatkozó speciális jelenségek, illetve mindegyik keletkezésére megpróbálok fényt deríteni.</w:t>
      </w:r>
      <w:r>
        <w:rPr>
          <w:color w:val="000000"/>
          <w:sz w:val="24"/>
          <w:szCs w:val="24"/>
        </w:rPr>
        <w:br/>
        <w:t xml:space="preserve">A tanulmányban sok helyen előfordulnak Orbán György saját idézetei, melyek színesebbé és teljesebbé teszik az egészet.</w:t>
      </w:r>
      <w:r>
        <w:rPr>
          <w:color w:val="000000"/>
          <w:sz w:val="24"/>
          <w:szCs w:val="24"/>
        </w:rPr>
        <w:br/>
        <w:t xml:space="preserve">Vallásos művek révén elhelyezhetők a liturgiában, ezért úgy gondolom, hogy ezekről némi információval kell szolgálnom. A zeneszerző saját véleményeit is röviden közlöm az atonalitásról, a művek énekelhetőségéről és egyéb, általa fontosnak tartott információkról.</w:t>
      </w:r>
      <w:r>
        <w:rPr>
          <w:color w:val="000000"/>
          <w:sz w:val="24"/>
          <w:szCs w:val="24"/>
        </w:rPr>
        <w:br/>
        <w:t xml:space="preserve">Ezeket összefoglalva képet kaphatunk Orbán György szakrális karművészetéről, ami talán közelebb visz bennünket az ő muzsikájához, esetleg még többen választják majd az ő darabját, ha koncertpódiumra állnak.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79644">
    <w:multiLevelType w:val="hybridMultilevel"/>
    <w:lvl w:ilvl="0" w:tplc="55512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79644">
    <w:abstractNumId w:val="63079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224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