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NAGY</w:t>
            </w:r>
          </w:p>
          <w:p w:rsidR="00C275A3" w:rsidRDefault="00A96AEC" w:rsidP="00C275A3">
            <w:pPr>
              <w:pStyle w:val="Hallgatokepzes"/>
            </w:pPr>
            <w:r>
              <w:t>Engineering Information Technology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Orosz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 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Performance Analysis of High-speed TCP Connections Using Adjustable Buffers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object of this work is the analysis of the transmission characteristics of TCP variants in high-speed network environment using adjustable sender and receiver-side buffers.</w:t>
      </w:r>
      <w:r>
        <w:rPr>
          <w:color w:val="000000"/>
          <w:sz w:val="24"/>
          <w:szCs w:val="24"/>
        </w:rPr>
        <w:br/>
        <w:t xml:space="preserve">For the investigation I created a dedicated laboratory environment that provides high configuration flexibility, and supports the performance measurement of several TCP variants. In the first scenario, the measurements were performed on a point-to-point 10 Gbit/s Ethernet link. In the second case, further sessions were done with software based WAN link emulation in order to imitate high bandwith x delay network connections. Measurement results were evaluated using desciptive statistical methods. Accordingly, I present a comparison of the thoughput of TCP variants in function of the network delay and the available endpoint buffers in LAN and WAN environments.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08829">
    <w:multiLevelType w:val="hybridMultilevel"/>
    <w:lvl w:ilvl="0" w:tplc="80310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08829">
    <w:abstractNumId w:val="17008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133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