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SEBESTYÉN KATALIN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Csernoch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KLIKK ÉS KLAVIA TÚRA Informatika tankönyvek terminológiai következetlenségei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Debreceni Egyetemre 2011 augusztusában beiratkozott elsőéves egyetemi hallgatók alapvető informatikai ismereteit tesztelő felmérés részeredményeit alapul véve a hallgatók beviteli eszközökhöz kötött nyelvhasználati szokásait vizsgáltuk. Arra kerestük a választ, hogy a „digital-born” nemzedék tagjai mennyire ismerik második anyanyelvük, a számítógép, az informatika nyelvét, képesek-e a helyes terminus használatára. A felmérés eredményei azt mutatják, hogy az alapvető beviteli egységekhez, az egérhez és a billentyűzethez, kapcsolódó terminológiával sincsenek tisztában a hallgatók.</w:t>
      </w:r>
      <w:r>
        <w:rPr>
          <w:color w:val="000000"/>
          <w:sz w:val="24"/>
          <w:szCs w:val="24"/>
        </w:rPr>
        <w:br/>
        <w:t xml:space="preserve">Az eredmények ismeretében mindenképpen indokolt keresni azokat az okokat, amelyek a hallgatók ilyen szintű nem-tudásához vezetnek. Az egyik magyarázat lehet, hogy az érintett fiatalok úgy gondolják, hogy a születés jogán nekik már nincs arra szükségük, hogy tanulják ezt a mesterséges nyelvet.</w:t>
      </w:r>
      <w:r>
        <w:rPr>
          <w:color w:val="000000"/>
          <w:sz w:val="24"/>
          <w:szCs w:val="24"/>
        </w:rPr>
        <w:br/>
        <w:t xml:space="preserve">Másrészről viszont a tanárok többsége nem tartja fontosnak a helyes terminológia kialakítását, már az informatika oktatás kezdeti szakaszában sem fordítanak kellő figyelmet a helyes fogalomhasználatra.</w:t>
      </w:r>
      <w:r>
        <w:rPr>
          <w:color w:val="000000"/>
          <w:sz w:val="24"/>
          <w:szCs w:val="24"/>
        </w:rPr>
        <w:br/>
        <w:t xml:space="preserve">Dolgozatunkban egyrészt a 2011-es felmérés eredményeit előidéző lehetséges okokat szeretnénk bemutatni, másrészt lehetséges megoldásokat keresünk oktatásmódszertani problémákra, hangsúlyozottan arra a kérdésre, hogy hogyan lehetne hatékonyan megismertetni az alapvető beviteli eszközök tudatos használatát a diákokkal.</w:t>
      </w:r>
      <w:r>
        <w:rPr>
          <w:color w:val="000000"/>
          <w:sz w:val="24"/>
          <w:szCs w:val="24"/>
        </w:rPr>
        <w:br/>
        <w:t xml:space="preserve">A hallgatói eredménytelenségnek, a fentebb ismertetett tévhiteken túl, számos más magyarázata is lehet. Ezen magyarázatok közül, a már korábban tesztelt tanári tevékenységek mellett, mindenképpen kiemelt fontosságú az oktatási segédanyagok minősége. Kutatásaink jelenlegi fázisában az informatika tankönyvek beviteli eszközökhöz kapcsolódó terminológia-használatát és következetességét vizsgáltuk.</w:t>
      </w:r>
      <w:r>
        <w:rPr>
          <w:color w:val="000000"/>
          <w:sz w:val="24"/>
          <w:szCs w:val="24"/>
        </w:rPr>
        <w:br/>
        <w:t xml:space="preserve">A megvizsgált tankönyvek egyrészt azt mutatják, hogy az adott témában nincs egységes terminológiája a szakmának, másrészt pedig azt, hogy a könyvek számtalan ellentmondást tartalmaznak. Ezen kettősség következtében a tankönyvek hibás tartalmakat közvetítenek, amelyek magyarázhatják mind a tanári, mind a tanulói hiányosságokat, az egyetemisták informatikai ismereteinek rendkívül alacsony színvonalát.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949654">
    <w:multiLevelType w:val="hybridMultilevel"/>
    <w:lvl w:ilvl="0" w:tplc="65916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949654">
    <w:abstractNumId w:val="569496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09003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