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ORSOLYA STRACK</w:t>
            </w:r>
          </w:p>
          <w:p w:rsidR="00C275A3" w:rsidRDefault="00A96AEC" w:rsidP="00C275A3">
            <w:pPr>
              <w:pStyle w:val="Hallgatokepzes"/>
            </w:pPr>
            <w:r>
              <w:t>craftsmanship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Communication and Business</w:t>
            </w:r>
            <w:r w:rsidR="00C275A3">
              <w:br/>
            </w:r>
            <w:r w:rsidR="00DB4822">
              <w:t>Faculty of Arts and Communication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Hajnal Baráth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Communicative Textile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course of my work I was hoping to find the answer how textile may become communicative. What tools are available at its disposal to generate a message? My starting point was the communicative nature of folk dressing. I am studying this – now slightly changed – communication and the role it requires from the artist who creates autonomous textile. I am also studying how this message may be carried over to the observant.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In the course of designing the object I started to deal with the idea of loneliness and the mass of people. I managed to find the composition that may become the most expressive and meaningful. By weaving I have created such a unique textile that might make people think about living together and living separately at the same time. I would like to demonstrate the idea and feeling of the lonely mass by using the patterns in a seemingly monotonous way emphasizing the contrast of the individual and the mass by the details of the pattern. I am studying how the use of the traditional pattern can generate a message with the help of symbols.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Final size of textile: 80x110cm.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006257">
    <w:multiLevelType w:val="hybridMultilevel"/>
    <w:lvl w:ilvl="0" w:tplc="27200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006257">
    <w:abstractNumId w:val="940062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0171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