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OLÁH</w:t>
            </w:r>
          </w:p>
          <w:p w:rsidR="00C275A3" w:rsidRDefault="00A96AEC" w:rsidP="00C275A3">
            <w:pPr>
              <w:pStyle w:val="Hallgatokepzes"/>
            </w:pPr>
            <w:r>
              <w:t>Theatre Script Editor</w:t>
            </w:r>
            <w:r>
              <w:br/>
            </w:r>
            <w:r w:rsidR="00E77B23">
              <w:t>Unified, 5. semester</w:t>
            </w:r>
          </w:p>
          <w:p w:rsidR="00C265CE" w:rsidRPr="009E5FF1" w:rsidRDefault="00E77B23" w:rsidP="00C275A3">
            <w:pPr>
              <w:pStyle w:val="Hallgatokepzes"/>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Annamária Radnai</w:t>
            </w:r>
          </w:p>
          <w:p w:rsidR="00DB4822" w:rsidRDefault="00DB4822" w:rsidP="00E11062">
            <w:pPr>
              <w:pStyle w:val="Konzulensek"/>
            </w:pPr>
            <w:r w:rsidRPr="00DB4822">
              <w:t>assistant professor,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Dramaturgy of Suicide in Four Nineteenth Century Russian Plays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Suicide in a drama usually has an unexpected and emotionally strong effect on the reader. However, to achieve this surprise the playwright has to prepare it thoroughly. My goal was to write an article that analyzes suicide in these plays on the basis of their structure and dramaturgy. In particular, I studied where the committed or attempted suicide can be found in the play and how it affects its structure. What are the actions and textual references that foreshadow the tragedy?</w:t>
      </w:r>
    </w:p>
    <w:p>
      <w:pPr>
        <w:pBdr/>
        <w:spacing w:before="240" w:after="240" w:line="240" w:lineRule="auto"/>
        <w:ind w:left="0" w:right="0"/>
        <w:jc w:val="left"/>
      </w:pPr>
      <w:r>
        <w:rPr>
          <w:color w:val="000000"/>
          <w:sz w:val="24"/>
          <w:szCs w:val="24"/>
        </w:rPr>
        <w:t xml:space="preserve">The reason why I have chosen Russian culture is that plays written by Russian authors are staged quite frequently in Hungarian theatres. The audiences are familiar with the conflicts and atmosphere of these plays. Due to this, among others, the four analyzed plays (The Storm by Ostrovsky, The Seagull by Chekhov, The Living Corpse by Tolstoy, The Philistines by Gorky) are quite well-known in Hungarian theatres.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74983">
    <w:multiLevelType w:val="hybridMultilevel"/>
    <w:lvl w:ilvl="0" w:tplc="12407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74983">
    <w:abstractNumId w:val="149749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6907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