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ORSOLYA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Gimesi Dóra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Piroska és a farkas kortárs adaptációi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három kortárs Piroska és a Farkas előadás szövegét és a színpadon való megjelenítését elemzem. Az esszében elsőként magát a mesét vizsgálom meg, összehasonlítom a belőle létező változatokat, szerkezetileg elemzem az adaptációk által feldolgozott Grimm-verziót, majd a téma pszichológiai vetületeit járom körül. A bevezető részt a dolgozat törzsanyaga, a három adaptáció külön-külön való, majd közös elemzése követi. Ezek az elemzések a szövegek és az előadások legapróbb részleteire is kiterjednek, azt vizsgálva, ki mit emel ki és tart fontosnak a történet szerkezeti egységei közül.</w:t>
      </w:r>
      <w:r>
        <w:rPr>
          <w:color w:val="000000"/>
          <w:sz w:val="24"/>
          <w:szCs w:val="24"/>
        </w:rPr>
        <w:br/>
        <w:t xml:space="preserve">Fontos kiemelni, hogy ezek az adaptációk bábszínpadra készültek. Érdekel, hogy a szerzők figyelembe veszik-e szövegíráskor a bábszínész igényeit; törekednek-e arra, hogy a karakterek megformálása kihívást jelentsen számukra. Adnak-e teret a rendezőnek saját megoldásainak kibontakoztatásában?</w:t>
      </w:r>
      <w:r>
        <w:rPr>
          <w:color w:val="000000"/>
          <w:sz w:val="24"/>
          <w:szCs w:val="24"/>
        </w:rPr>
        <w:br/>
        <w:t xml:space="preserve">Látni fogjuk, hogy a három előadás formanyelve lényegesen eltér egymástól, mégis van néhány közös érintkezési pont, amelyek kiemelésével létrehozhatjuk egy mai, jól működő Piroska és a Farkas előadás dramaturgiai sémáját.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17246">
    <w:multiLevelType w:val="hybridMultilevel"/>
    <w:lvl w:ilvl="0" w:tplc="13310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17246">
    <w:abstractNumId w:val="28417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065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