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JÓZSEF VIDA</w:t>
            </w:r>
          </w:p>
          <w:p w:rsidR="00C275A3" w:rsidRDefault="00A96AEC" w:rsidP="00C275A3">
            <w:pPr>
              <w:pStyle w:val="Hallgatokepzes"/>
            </w:pPr>
            <w:r>
              <w:t>MSc in 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Szunyogh</w:t>
            </w:r>
          </w:p>
          <w:p w:rsidR="00DB4822" w:rsidRDefault="00DB4822" w:rsidP="00E11062">
            <w:pPr>
              <w:pStyle w:val="Konzulensek"/>
            </w:pPr>
            <w:r w:rsidRPr="00DB4822">
              <w:t>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Effective spin models based on ab initio calculations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applications of magnetic phenomena is high-density magnetic data storage or magnetic sensors. A theory at the microscopical level is necessary for understanding and applying advanced magnetic phenomena. Computer simulations are widely used to investigate the magnetic properties of matter. In most cases, large scale ab initio computations can not be carried to this purpose,thus the use of an effective spin model is necessary. In case of a technologically important system, in this work we investigate some possibilities for deriving the model parameters.</w:t>
      </w:r>
    </w:p>
    <w:p>
      <w:pPr>
        <w:widowControl w:val="on"/>
        <w:pBdr/>
        <w:spacing w:before="240" w:after="240" w:line="240" w:lineRule="auto"/>
        <w:ind w:left="0" w:right="0"/>
        <w:jc w:val="left"/>
      </w:pPr>
      <w:r>
        <w:rPr>
          <w:color w:val="000000"/>
          <w:sz w:val="24"/>
          <w:szCs w:val="24"/>
        </w:rPr>
        <w:t xml:space="preserve">In the ordered FePt alloy, the Pt atoms manifest induced magnetic moments that strongly depend on the orientational configuration of the Fe moments. In such cases the exchange integrals entering the Heisenberg model can not be computed by using the method introduced by Liechtenstein and coworkers [1]. Quite a few studies is known from the literature to account for the formation energy of the induced moments (Pt) in the interaction between the strong moments (Fe) [2,3].</w:t>
      </w:r>
    </w:p>
    <w:p>
      <w:pPr>
        <w:widowControl w:val="on"/>
        <w:pBdr/>
        <w:spacing w:before="240" w:after="240" w:line="240" w:lineRule="auto"/>
        <w:ind w:left="0" w:right="0"/>
        <w:jc w:val="left"/>
      </w:pPr>
      <w:r>
        <w:rPr>
          <w:color w:val="000000"/>
          <w:sz w:val="24"/>
          <w:szCs w:val="24"/>
        </w:rPr>
        <w:t xml:space="preserve">We start the present work by briefly reviewing these approaches. Then electronic structure calculations are performed for the FePt ordered magnetic alloy using the Korringa–Kohn–Rostoker method [4] based on the Density Functional Theory, We calculate the quantities needed to construct the spin models, such as the exchange interactions between the Fe spins, the formation energy of the Fe moments and the corresponding spin-susceptibilities. By using the obtained spin models we performed spin dynamics simulations to obtain the temperature dependence of the magnetization and the Curie temperature. By comparing the numerical results with experimental data, we attempt to draw conclusions regarding to the applied spin models.</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A. I. Liechtenstein et al., Jurn. of Mag. and Mag. Mat., Vol. 67, p. 65-74. (1987).</w:t>
      </w:r>
    </w:p>
    <w:p>
      <w:pPr>
        <w:widowControl w:val="on"/>
        <w:pBdr/>
        <w:spacing w:before="240" w:after="240" w:line="240" w:lineRule="auto"/>
        <w:ind w:left="0" w:right="0"/>
        <w:jc w:val="left"/>
      </w:pPr>
      <w:r>
        <w:rPr>
          <w:color w:val="000000"/>
          <w:sz w:val="24"/>
          <w:szCs w:val="24"/>
        </w:rPr>
        <w:t xml:space="preserve">[2] O. N. Mryasov., Phase Transitions, Vol. 78 (1-3):197-208 (2005).</w:t>
      </w:r>
    </w:p>
    <w:p>
      <w:pPr>
        <w:widowControl w:val="on"/>
        <w:pBdr/>
        <w:spacing w:before="240" w:after="240" w:line="240" w:lineRule="auto"/>
        <w:ind w:left="0" w:right="0"/>
        <w:jc w:val="left"/>
      </w:pPr>
      <w:r>
        <w:rPr>
          <w:color w:val="000000"/>
          <w:sz w:val="24"/>
          <w:szCs w:val="24"/>
        </w:rPr>
        <w:t xml:space="preserve">[3] M. Lezaic, Ph. Mavropoulos, G. Bihlmayer, and S. Blügel, ArXiv:1210.2375 (2012).</w:t>
      </w:r>
    </w:p>
    <w:p>
      <w:pPr>
        <w:widowControl w:val="on"/>
        <w:pBdr/>
        <w:spacing w:before="240" w:after="240" w:line="240" w:lineRule="auto"/>
        <w:ind w:left="0" w:right="0"/>
        <w:jc w:val="left"/>
      </w:pPr>
      <w:r>
        <w:rPr>
          <w:color w:val="000000"/>
          <w:sz w:val="24"/>
          <w:szCs w:val="24"/>
        </w:rPr>
        <w:t xml:space="preserve">[4] J. Zabloudil, R. Hammerling, L. Szunyogh, and P. Wienberger, "Electron Scattering in Solid Matter: A Theoretical and Computational Treatise", Springer (2005).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03645">
    <w:multiLevelType w:val="hybridMultilevel"/>
    <w:lvl w:ilvl="0" w:tplc="87069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03645">
    <w:abstractNumId w:val="20503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725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